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1E16" w:rsidRDefault="00C01E16" w:rsidP="00C01E16">
      <w:pPr>
        <w:spacing w:line="360" w:lineRule="auto"/>
        <w:jc w:val="both"/>
        <w:rPr>
          <w:rFonts w:ascii="Arial" w:hAnsi="Arial" w:cs="Arial"/>
          <w:b/>
        </w:rPr>
      </w:pPr>
      <w:r w:rsidRPr="00470C44">
        <w:rPr>
          <w:rFonts w:ascii="Arial" w:hAnsi="Arial" w:cs="Arial"/>
          <w:b/>
        </w:rPr>
        <w:t>LC- 4349</w:t>
      </w:r>
    </w:p>
    <w:p w:rsidR="00C01E16" w:rsidRPr="00470C44" w:rsidRDefault="00C01E16" w:rsidP="00C01E16">
      <w:pPr>
        <w:spacing w:after="0" w:line="360" w:lineRule="auto"/>
        <w:jc w:val="center"/>
        <w:rPr>
          <w:rFonts w:ascii="Arial" w:hAnsi="Arial" w:cs="Arial"/>
          <w:b/>
        </w:rPr>
      </w:pPr>
      <w:r w:rsidRPr="00074EFF">
        <w:rPr>
          <w:rFonts w:ascii="Arial" w:hAnsi="Arial" w:cs="Arial"/>
          <w:b/>
        </w:rPr>
        <w:t>LEY P- N° 4.349</w:t>
      </w:r>
    </w:p>
    <w:p w:rsidR="00C01E16" w:rsidRDefault="00C01E16" w:rsidP="00C01E16">
      <w:pPr>
        <w:spacing w:line="360" w:lineRule="auto"/>
        <w:jc w:val="both"/>
        <w:rPr>
          <w:rFonts w:ascii="Arial" w:hAnsi="Arial" w:cs="Arial"/>
        </w:rPr>
      </w:pPr>
    </w:p>
    <w:p w:rsidR="00C01E16" w:rsidRPr="00470C44" w:rsidRDefault="00C01E16" w:rsidP="00C01E16">
      <w:pPr>
        <w:spacing w:line="360" w:lineRule="auto"/>
        <w:jc w:val="both"/>
        <w:rPr>
          <w:rFonts w:ascii="Arial" w:hAnsi="Arial" w:cs="Arial"/>
        </w:rPr>
      </w:pPr>
      <w:r w:rsidRPr="00470C44">
        <w:rPr>
          <w:rFonts w:ascii="Arial" w:hAnsi="Arial" w:cs="Arial"/>
        </w:rPr>
        <w:t xml:space="preserve">Artículo 1°.- Créase el Sistema de Sustitución de Penas por Traslados Comunitarios (SSPTC) en la Ciudad de Buenos Aires, en los términos del artículo 18 inc. 2 # del Anexo A de la Ley 451 #. </w:t>
      </w:r>
    </w:p>
    <w:p w:rsidR="00C01E16" w:rsidRPr="00470C44" w:rsidRDefault="00C01E16" w:rsidP="00C01E16">
      <w:pPr>
        <w:spacing w:line="360" w:lineRule="auto"/>
        <w:jc w:val="both"/>
        <w:rPr>
          <w:rFonts w:ascii="Arial" w:hAnsi="Arial" w:cs="Arial"/>
        </w:rPr>
      </w:pPr>
      <w:r w:rsidRPr="00470C44">
        <w:rPr>
          <w:rFonts w:ascii="Arial" w:hAnsi="Arial" w:cs="Arial"/>
        </w:rPr>
        <w:t xml:space="preserve">Artículo 2°.- Podrán acceder al Sistema los conductores y/o propietarios de vehículos afectados al servicio público de automóviles de alquiler con taxímetro o al servicio de alquiler de automóviles particulares con conductor que sean sancionados con multa por Controladores Administrativos de Faltas. </w:t>
      </w:r>
    </w:p>
    <w:p w:rsidR="00C01E16" w:rsidRPr="00470C44" w:rsidRDefault="00C01E16" w:rsidP="00C01E16">
      <w:pPr>
        <w:spacing w:line="360" w:lineRule="auto"/>
        <w:jc w:val="both"/>
        <w:rPr>
          <w:rFonts w:ascii="Arial" w:hAnsi="Arial" w:cs="Arial"/>
        </w:rPr>
      </w:pPr>
      <w:r w:rsidRPr="00470C44">
        <w:rPr>
          <w:rFonts w:ascii="Arial" w:hAnsi="Arial" w:cs="Arial"/>
        </w:rPr>
        <w:t xml:space="preserve">Artículo 3°.- La Autoridad de Aplicación al reglamentar la presente ley establecerá la escala general para determinar la cantidad de horas que deberán destinar a Traslados Comunitarios en función a las Unidades Fijas de multa fijadas por Controladores Administrativos de Faltas. </w:t>
      </w:r>
    </w:p>
    <w:p w:rsidR="00C01E16" w:rsidRPr="00470C44" w:rsidRDefault="00C01E16" w:rsidP="00C01E16">
      <w:pPr>
        <w:spacing w:line="360" w:lineRule="auto"/>
        <w:jc w:val="both"/>
        <w:rPr>
          <w:rFonts w:ascii="Arial" w:hAnsi="Arial" w:cs="Arial"/>
        </w:rPr>
      </w:pPr>
      <w:r w:rsidRPr="00470C44">
        <w:rPr>
          <w:rFonts w:ascii="Arial" w:hAnsi="Arial" w:cs="Arial"/>
        </w:rPr>
        <w:t xml:space="preserve">Artículo 4°.- Los traslados comunitarios se establecerán en función de las necesidades específicas, conforme un cronograma que elabore semestralmente la Subsecretaria de Promoción Social, dependiente del Ministerio de Desarrollo Social, el que deberá ser comunicado a la Autoridad de Aplicación de la presente ley. </w:t>
      </w:r>
    </w:p>
    <w:p w:rsidR="00C01E16" w:rsidRPr="00470C44" w:rsidRDefault="00C01E16" w:rsidP="00C01E16">
      <w:pPr>
        <w:spacing w:line="360" w:lineRule="auto"/>
        <w:jc w:val="both"/>
        <w:rPr>
          <w:rFonts w:ascii="Arial" w:hAnsi="Arial" w:cs="Arial"/>
        </w:rPr>
      </w:pPr>
      <w:r w:rsidRPr="00470C44">
        <w:rPr>
          <w:rFonts w:ascii="Arial" w:hAnsi="Arial" w:cs="Arial"/>
        </w:rPr>
        <w:t xml:space="preserve">Artículo 5°.- Será autoridad de Aplicación de la presente Ley la Subsecretaria de Justicia, dependiente del Ministerio de Justicia y Seguridad. </w:t>
      </w:r>
    </w:p>
    <w:p w:rsidR="00C01E16" w:rsidRPr="00470C44" w:rsidRDefault="00C01E16" w:rsidP="00C01E16">
      <w:pPr>
        <w:spacing w:line="360" w:lineRule="auto"/>
        <w:jc w:val="both"/>
        <w:rPr>
          <w:rFonts w:ascii="Arial" w:hAnsi="Arial" w:cs="Arial"/>
        </w:rPr>
      </w:pPr>
      <w:r w:rsidRPr="00470C44">
        <w:rPr>
          <w:rFonts w:ascii="Arial" w:hAnsi="Arial" w:cs="Arial"/>
        </w:rPr>
        <w:t xml:space="preserve">Artículo 6°.- Déjase establecido que la aplicación del Sistema que por la presente se crea no exceptúa al infractor de la aplicación de Sistema de Evaluación Permanente de Conductores previsto en la Ley 2641 #. </w:t>
      </w:r>
    </w:p>
    <w:p w:rsidR="00C01E16" w:rsidRPr="00470C44" w:rsidRDefault="00C01E16" w:rsidP="00C01E16">
      <w:pPr>
        <w:spacing w:line="360" w:lineRule="auto"/>
        <w:jc w:val="both"/>
        <w:rPr>
          <w:rFonts w:ascii="Arial" w:hAnsi="Arial" w:cs="Arial"/>
        </w:rPr>
      </w:pPr>
      <w:r>
        <w:rPr>
          <w:rFonts w:ascii="Arial" w:hAnsi="Arial" w:cs="Arial"/>
        </w:rPr>
        <w:t xml:space="preserve">Artículo </w:t>
      </w:r>
      <w:r w:rsidRPr="00470C44">
        <w:rPr>
          <w:rFonts w:ascii="Arial" w:hAnsi="Arial" w:cs="Arial"/>
        </w:rPr>
        <w:t xml:space="preserve">7°.- El Poder Ejecutivo deberá reglamentar la presente Ley en el plazo de (90) días de sancionada la presente. </w:t>
      </w:r>
    </w:p>
    <w:p w:rsidR="00C01E16" w:rsidRPr="00470C44" w:rsidRDefault="00C01E16" w:rsidP="00C01E16">
      <w:pPr>
        <w:spacing w:line="360" w:lineRule="auto"/>
        <w:jc w:val="both"/>
        <w:rPr>
          <w:rFonts w:ascii="Arial" w:hAnsi="Arial" w:cs="Arial"/>
        </w:rPr>
      </w:pPr>
    </w:p>
    <w:tbl>
      <w:tblPr>
        <w:tblW w:w="0" w:type="auto"/>
        <w:tblInd w:w="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4290"/>
        <w:gridCol w:w="4485"/>
      </w:tblGrid>
      <w:tr w:rsidR="00C01E16" w:rsidRPr="00470C44" w:rsidTr="00E12B68">
        <w:tblPrEx>
          <w:tblCellMar>
            <w:top w:w="0" w:type="dxa"/>
            <w:bottom w:w="0" w:type="dxa"/>
          </w:tblCellMar>
        </w:tblPrEx>
        <w:trPr>
          <w:trHeight w:val="750"/>
        </w:trPr>
        <w:tc>
          <w:tcPr>
            <w:tcW w:w="8775" w:type="dxa"/>
            <w:gridSpan w:val="2"/>
            <w:vAlign w:val="center"/>
          </w:tcPr>
          <w:p w:rsidR="00C01E16" w:rsidRPr="00470C44" w:rsidRDefault="00C01E16" w:rsidP="00E12B68">
            <w:pPr>
              <w:spacing w:before="240" w:after="0" w:line="360" w:lineRule="auto"/>
              <w:ind w:left="6"/>
              <w:jc w:val="center"/>
              <w:rPr>
                <w:rFonts w:ascii="Arial" w:hAnsi="Arial" w:cs="Arial"/>
                <w:b/>
              </w:rPr>
            </w:pPr>
            <w:r w:rsidRPr="00470C44">
              <w:rPr>
                <w:rFonts w:ascii="Arial" w:hAnsi="Arial" w:cs="Arial"/>
                <w:b/>
              </w:rPr>
              <w:t>LEY P N° 4</w:t>
            </w:r>
            <w:r>
              <w:rPr>
                <w:rFonts w:ascii="Arial" w:hAnsi="Arial" w:cs="Arial"/>
                <w:b/>
              </w:rPr>
              <w:t>.</w:t>
            </w:r>
            <w:r w:rsidRPr="00470C44">
              <w:rPr>
                <w:rFonts w:ascii="Arial" w:hAnsi="Arial" w:cs="Arial"/>
                <w:b/>
              </w:rPr>
              <w:t>349</w:t>
            </w:r>
          </w:p>
          <w:p w:rsidR="00C01E16" w:rsidRPr="00470C44" w:rsidRDefault="00C01E16" w:rsidP="00E12B68">
            <w:pPr>
              <w:spacing w:after="0" w:line="360" w:lineRule="auto"/>
              <w:ind w:left="6"/>
              <w:jc w:val="center"/>
              <w:rPr>
                <w:rFonts w:ascii="Arial" w:hAnsi="Arial" w:cs="Arial"/>
                <w:b/>
              </w:rPr>
            </w:pPr>
            <w:r w:rsidRPr="00470C44">
              <w:rPr>
                <w:rFonts w:ascii="Arial" w:hAnsi="Arial" w:cs="Arial"/>
                <w:b/>
              </w:rPr>
              <w:t>TABLA DE ANTECEDENTES</w:t>
            </w:r>
          </w:p>
        </w:tc>
      </w:tr>
      <w:tr w:rsidR="00C01E16" w:rsidRPr="00470C44" w:rsidTr="00E12B68">
        <w:tblPrEx>
          <w:tblCellMar>
            <w:top w:w="0" w:type="dxa"/>
            <w:bottom w:w="0" w:type="dxa"/>
          </w:tblCellMar>
        </w:tblPrEx>
        <w:trPr>
          <w:trHeight w:val="855"/>
        </w:trPr>
        <w:tc>
          <w:tcPr>
            <w:tcW w:w="4290" w:type="dxa"/>
            <w:vAlign w:val="center"/>
          </w:tcPr>
          <w:p w:rsidR="00C01E16" w:rsidRPr="00470C44" w:rsidRDefault="00C01E16" w:rsidP="00E12B68">
            <w:pPr>
              <w:spacing w:after="0" w:line="360" w:lineRule="auto"/>
              <w:ind w:left="6"/>
              <w:jc w:val="center"/>
              <w:rPr>
                <w:rFonts w:ascii="Arial" w:hAnsi="Arial" w:cs="Arial"/>
                <w:b/>
              </w:rPr>
            </w:pPr>
            <w:r w:rsidRPr="00470C44">
              <w:rPr>
                <w:rFonts w:ascii="Arial" w:hAnsi="Arial" w:cs="Arial"/>
                <w:b/>
              </w:rPr>
              <w:t>Número de artículo del Texto Definitivo</w:t>
            </w:r>
          </w:p>
        </w:tc>
        <w:tc>
          <w:tcPr>
            <w:tcW w:w="4485" w:type="dxa"/>
            <w:vAlign w:val="center"/>
          </w:tcPr>
          <w:p w:rsidR="00C01E16" w:rsidRPr="00470C44" w:rsidRDefault="00C01E16" w:rsidP="00E12B68">
            <w:pPr>
              <w:spacing w:after="0" w:line="360" w:lineRule="auto"/>
              <w:ind w:left="6"/>
              <w:jc w:val="center"/>
              <w:rPr>
                <w:rFonts w:ascii="Arial" w:hAnsi="Arial" w:cs="Arial"/>
                <w:b/>
              </w:rPr>
            </w:pPr>
            <w:r w:rsidRPr="00470C44">
              <w:rPr>
                <w:rFonts w:ascii="Arial" w:hAnsi="Arial" w:cs="Arial"/>
                <w:b/>
              </w:rPr>
              <w:t>Fuente</w:t>
            </w:r>
          </w:p>
        </w:tc>
      </w:tr>
      <w:tr w:rsidR="00C01E16" w:rsidRPr="00470C44" w:rsidTr="00E12B68">
        <w:tblPrEx>
          <w:tblCellMar>
            <w:top w:w="0" w:type="dxa"/>
            <w:bottom w:w="0" w:type="dxa"/>
          </w:tblCellMar>
        </w:tblPrEx>
        <w:trPr>
          <w:trHeight w:val="668"/>
        </w:trPr>
        <w:tc>
          <w:tcPr>
            <w:tcW w:w="8775" w:type="dxa"/>
            <w:gridSpan w:val="2"/>
            <w:vAlign w:val="center"/>
          </w:tcPr>
          <w:p w:rsidR="00C01E16" w:rsidRPr="00470C44" w:rsidRDefault="00C01E16" w:rsidP="00E12B68">
            <w:pPr>
              <w:spacing w:after="0" w:line="360" w:lineRule="auto"/>
              <w:ind w:left="6"/>
              <w:jc w:val="center"/>
              <w:rPr>
                <w:rFonts w:ascii="Arial" w:hAnsi="Arial" w:cs="Arial"/>
              </w:rPr>
            </w:pPr>
            <w:r w:rsidRPr="00470C44">
              <w:rPr>
                <w:rFonts w:ascii="Arial" w:hAnsi="Arial" w:cs="Arial"/>
              </w:rPr>
              <w:t xml:space="preserve">Todos los artículos de este Texto Definitivo provienen del texto original de la Ley </w:t>
            </w:r>
            <w:r>
              <w:rPr>
                <w:rFonts w:ascii="Arial" w:hAnsi="Arial" w:cs="Arial"/>
              </w:rPr>
              <w:t>N°</w:t>
            </w:r>
            <w:r w:rsidRPr="00470C44">
              <w:rPr>
                <w:rFonts w:ascii="Arial" w:hAnsi="Arial" w:cs="Arial"/>
              </w:rPr>
              <w:t>4</w:t>
            </w:r>
            <w:r>
              <w:rPr>
                <w:rFonts w:ascii="Arial" w:hAnsi="Arial" w:cs="Arial"/>
              </w:rPr>
              <w:t>.</w:t>
            </w:r>
            <w:r w:rsidRPr="00470C44">
              <w:rPr>
                <w:rFonts w:ascii="Arial" w:hAnsi="Arial" w:cs="Arial"/>
              </w:rPr>
              <w:t>349.</w:t>
            </w:r>
          </w:p>
        </w:tc>
      </w:tr>
    </w:tbl>
    <w:p w:rsidR="00C01E16" w:rsidRPr="00470C44" w:rsidRDefault="00C01E16" w:rsidP="00C01E16">
      <w:pPr>
        <w:spacing w:line="360" w:lineRule="auto"/>
        <w:jc w:val="both"/>
        <w:rPr>
          <w:rFonts w:ascii="Arial" w:hAnsi="Arial" w:cs="Arial"/>
        </w:rPr>
      </w:pPr>
    </w:p>
    <w:tbl>
      <w:tblPr>
        <w:tblW w:w="0" w:type="auto"/>
        <w:tblInd w:w="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910"/>
        <w:gridCol w:w="2820"/>
        <w:gridCol w:w="3075"/>
      </w:tblGrid>
      <w:tr w:rsidR="00C01E16" w:rsidRPr="00470C44" w:rsidTr="00E12B68">
        <w:tblPrEx>
          <w:tblCellMar>
            <w:top w:w="0" w:type="dxa"/>
            <w:bottom w:w="0" w:type="dxa"/>
          </w:tblCellMar>
        </w:tblPrEx>
        <w:trPr>
          <w:trHeight w:val="975"/>
        </w:trPr>
        <w:tc>
          <w:tcPr>
            <w:tcW w:w="8805" w:type="dxa"/>
            <w:gridSpan w:val="3"/>
            <w:vAlign w:val="center"/>
          </w:tcPr>
          <w:p w:rsidR="00C01E16" w:rsidRPr="00470C44" w:rsidRDefault="00C01E16" w:rsidP="00E12B68">
            <w:pPr>
              <w:spacing w:before="240" w:after="0" w:line="360" w:lineRule="auto"/>
              <w:jc w:val="center"/>
              <w:rPr>
                <w:rFonts w:ascii="Arial" w:hAnsi="Arial" w:cs="Arial"/>
                <w:b/>
              </w:rPr>
            </w:pPr>
            <w:r w:rsidRPr="00470C44">
              <w:rPr>
                <w:rFonts w:ascii="Arial" w:hAnsi="Arial" w:cs="Arial"/>
                <w:b/>
              </w:rPr>
              <w:t>LEY P N° 4</w:t>
            </w:r>
            <w:r>
              <w:rPr>
                <w:rFonts w:ascii="Arial" w:hAnsi="Arial" w:cs="Arial"/>
                <w:b/>
              </w:rPr>
              <w:t>.</w:t>
            </w:r>
            <w:r w:rsidRPr="00470C44">
              <w:rPr>
                <w:rFonts w:ascii="Arial" w:hAnsi="Arial" w:cs="Arial"/>
                <w:b/>
              </w:rPr>
              <w:t>349</w:t>
            </w:r>
          </w:p>
          <w:p w:rsidR="00C01E16" w:rsidRPr="00470C44" w:rsidRDefault="00C01E16" w:rsidP="00E12B68">
            <w:pPr>
              <w:spacing w:after="0" w:line="360" w:lineRule="auto"/>
              <w:jc w:val="center"/>
              <w:rPr>
                <w:rFonts w:ascii="Arial" w:hAnsi="Arial" w:cs="Arial"/>
                <w:b/>
              </w:rPr>
            </w:pPr>
            <w:r w:rsidRPr="00470C44">
              <w:rPr>
                <w:rFonts w:ascii="Arial" w:hAnsi="Arial" w:cs="Arial"/>
                <w:b/>
              </w:rPr>
              <w:t>TABLA DE EQUIVALENCIAS</w:t>
            </w:r>
          </w:p>
        </w:tc>
      </w:tr>
      <w:tr w:rsidR="00C01E16" w:rsidRPr="00470C44" w:rsidTr="00E12B68">
        <w:tblPrEx>
          <w:tblCellMar>
            <w:top w:w="0" w:type="dxa"/>
            <w:bottom w:w="0" w:type="dxa"/>
          </w:tblCellMar>
        </w:tblPrEx>
        <w:trPr>
          <w:trHeight w:val="1035"/>
        </w:trPr>
        <w:tc>
          <w:tcPr>
            <w:tcW w:w="2910" w:type="dxa"/>
          </w:tcPr>
          <w:p w:rsidR="00C01E16" w:rsidRPr="00470C44" w:rsidRDefault="00C01E16" w:rsidP="00E12B68">
            <w:pPr>
              <w:spacing w:line="360" w:lineRule="auto"/>
              <w:jc w:val="center"/>
              <w:rPr>
                <w:rFonts w:ascii="Arial" w:hAnsi="Arial" w:cs="Arial"/>
                <w:b/>
              </w:rPr>
            </w:pPr>
            <w:r w:rsidRPr="00470C44">
              <w:rPr>
                <w:rFonts w:ascii="Arial" w:hAnsi="Arial" w:cs="Arial"/>
                <w:b/>
              </w:rPr>
              <w:t>Número de artículo del Texto Definitivo</w:t>
            </w:r>
          </w:p>
        </w:tc>
        <w:tc>
          <w:tcPr>
            <w:tcW w:w="2820" w:type="dxa"/>
            <w:vAlign w:val="center"/>
          </w:tcPr>
          <w:p w:rsidR="00C01E16" w:rsidRPr="00470C44" w:rsidRDefault="00C01E16" w:rsidP="00E12B68">
            <w:pPr>
              <w:spacing w:after="0" w:line="360" w:lineRule="auto"/>
              <w:jc w:val="center"/>
              <w:rPr>
                <w:rFonts w:ascii="Arial" w:hAnsi="Arial" w:cs="Arial"/>
                <w:b/>
              </w:rPr>
            </w:pPr>
            <w:r w:rsidRPr="00470C44">
              <w:rPr>
                <w:rFonts w:ascii="Arial" w:hAnsi="Arial" w:cs="Arial"/>
                <w:b/>
              </w:rPr>
              <w:t>Número de artículo del Texto de Referencia (Ley 4</w:t>
            </w:r>
            <w:r>
              <w:rPr>
                <w:rFonts w:ascii="Arial" w:hAnsi="Arial" w:cs="Arial"/>
                <w:b/>
              </w:rPr>
              <w:t>.</w:t>
            </w:r>
            <w:r w:rsidRPr="00470C44">
              <w:rPr>
                <w:rFonts w:ascii="Arial" w:hAnsi="Arial" w:cs="Arial"/>
                <w:b/>
              </w:rPr>
              <w:t>349)</w:t>
            </w:r>
          </w:p>
        </w:tc>
        <w:tc>
          <w:tcPr>
            <w:tcW w:w="3075" w:type="dxa"/>
          </w:tcPr>
          <w:p w:rsidR="00C01E16" w:rsidRPr="00470C44" w:rsidRDefault="00C01E16" w:rsidP="00E12B68">
            <w:pPr>
              <w:spacing w:line="360" w:lineRule="auto"/>
              <w:jc w:val="center"/>
              <w:rPr>
                <w:rFonts w:ascii="Arial" w:hAnsi="Arial" w:cs="Arial"/>
                <w:b/>
              </w:rPr>
            </w:pPr>
            <w:r w:rsidRPr="00470C44">
              <w:rPr>
                <w:rFonts w:ascii="Arial" w:hAnsi="Arial" w:cs="Arial"/>
                <w:b/>
              </w:rPr>
              <w:t>Observaciones</w:t>
            </w:r>
          </w:p>
        </w:tc>
      </w:tr>
      <w:tr w:rsidR="00C01E16" w:rsidRPr="00470C44" w:rsidTr="00E12B68">
        <w:tblPrEx>
          <w:tblCellMar>
            <w:top w:w="0" w:type="dxa"/>
            <w:bottom w:w="0" w:type="dxa"/>
          </w:tblCellMar>
        </w:tblPrEx>
        <w:trPr>
          <w:trHeight w:val="918"/>
        </w:trPr>
        <w:tc>
          <w:tcPr>
            <w:tcW w:w="8805" w:type="dxa"/>
            <w:gridSpan w:val="3"/>
            <w:vAlign w:val="center"/>
          </w:tcPr>
          <w:p w:rsidR="00C01E16" w:rsidRPr="00470C44" w:rsidRDefault="00C01E16" w:rsidP="00E12B68">
            <w:pPr>
              <w:spacing w:after="0" w:line="360" w:lineRule="auto"/>
              <w:jc w:val="center"/>
              <w:rPr>
                <w:rFonts w:ascii="Arial" w:hAnsi="Arial" w:cs="Arial"/>
              </w:rPr>
            </w:pPr>
            <w:r w:rsidRPr="00470C44">
              <w:rPr>
                <w:rFonts w:ascii="Arial" w:hAnsi="Arial" w:cs="Arial"/>
                <w:lang w:val="es-ES"/>
              </w:rPr>
              <w:t xml:space="preserve">La numeración de los artículos del Texto Definitivo corresponde a la numeración original de la </w:t>
            </w:r>
            <w:r w:rsidRPr="00470C44">
              <w:rPr>
                <w:rFonts w:ascii="Arial" w:hAnsi="Arial" w:cs="Arial"/>
              </w:rPr>
              <w:t xml:space="preserve">Ley </w:t>
            </w:r>
            <w:r>
              <w:rPr>
                <w:rFonts w:ascii="Arial" w:hAnsi="Arial" w:cs="Arial"/>
              </w:rPr>
              <w:t>N°</w:t>
            </w:r>
            <w:r w:rsidRPr="00470C44">
              <w:rPr>
                <w:rFonts w:ascii="Arial" w:hAnsi="Arial" w:cs="Arial"/>
              </w:rPr>
              <w:t>4</w:t>
            </w:r>
            <w:r>
              <w:rPr>
                <w:rFonts w:ascii="Arial" w:hAnsi="Arial" w:cs="Arial"/>
              </w:rPr>
              <w:t>.</w:t>
            </w:r>
            <w:r w:rsidRPr="00470C44">
              <w:rPr>
                <w:rFonts w:ascii="Arial" w:hAnsi="Arial" w:cs="Arial"/>
              </w:rPr>
              <w:t>349.</w:t>
            </w:r>
          </w:p>
        </w:tc>
      </w:tr>
    </w:tbl>
    <w:p w:rsidR="00C01E16" w:rsidRPr="00470C44" w:rsidRDefault="00C01E16" w:rsidP="00C01E16">
      <w:pPr>
        <w:spacing w:line="360" w:lineRule="auto"/>
        <w:jc w:val="both"/>
        <w:rPr>
          <w:rFonts w:ascii="Arial" w:hAnsi="Arial" w:cs="Arial"/>
        </w:rPr>
      </w:pPr>
    </w:p>
    <w:p w:rsidR="00C01E16" w:rsidRDefault="00C01E16" w:rsidP="00C01E16">
      <w:pPr>
        <w:spacing w:after="0" w:line="360" w:lineRule="auto"/>
        <w:jc w:val="both"/>
        <w:rPr>
          <w:rFonts w:ascii="Arial" w:hAnsi="Arial" w:cs="Arial"/>
          <w:b/>
          <w:u w:val="single"/>
        </w:rPr>
      </w:pPr>
      <w:r w:rsidRPr="00470C44">
        <w:rPr>
          <w:rFonts w:ascii="Arial" w:hAnsi="Arial" w:cs="Arial"/>
          <w:b/>
          <w:u w:val="single"/>
        </w:rPr>
        <w:t>Observaciones Generales:</w:t>
      </w:r>
    </w:p>
    <w:p w:rsidR="00C01E16" w:rsidRPr="00470C44" w:rsidRDefault="00C01E16" w:rsidP="00C01E16">
      <w:pPr>
        <w:numPr>
          <w:ilvl w:val="0"/>
          <w:numId w:val="1"/>
        </w:numPr>
        <w:spacing w:after="0" w:line="360" w:lineRule="auto"/>
        <w:ind w:left="567" w:hanging="567"/>
        <w:jc w:val="both"/>
        <w:rPr>
          <w:rFonts w:ascii="Arial" w:hAnsi="Arial" w:cs="Arial"/>
          <w:b/>
          <w:u w:val="single"/>
        </w:rPr>
      </w:pPr>
      <w:r w:rsidRPr="00470C44">
        <w:rPr>
          <w:rFonts w:ascii="Arial" w:hAnsi="Arial" w:cs="Arial"/>
        </w:rPr>
        <w:t># La presente Norma contiene remisiones externas #</w:t>
      </w:r>
    </w:p>
    <w:p w:rsidR="00E31928" w:rsidRDefault="00E31928" w:rsidP="00C01E16">
      <w:pPr>
        <w:spacing w:after="0"/>
      </w:pPr>
    </w:p>
    <w:sectPr w:rsidR="00E31928" w:rsidSect="00470C44">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5C765C"/>
    <w:multiLevelType w:val="hybridMultilevel"/>
    <w:tmpl w:val="D2CEB418"/>
    <w:lvl w:ilvl="0" w:tplc="A7061F7E">
      <w:start w:val="1"/>
      <w:numFmt w:val="decimal"/>
      <w:lvlText w:val="%1."/>
      <w:lvlJc w:val="left"/>
      <w:pPr>
        <w:ind w:left="720" w:hanging="360"/>
      </w:pPr>
      <w:rPr>
        <w:b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C01E16"/>
    <w:rsid w:val="00103151"/>
    <w:rsid w:val="001E3945"/>
    <w:rsid w:val="005F2A0A"/>
    <w:rsid w:val="006C2C88"/>
    <w:rsid w:val="00876771"/>
    <w:rsid w:val="00BB3F0A"/>
    <w:rsid w:val="00C01E16"/>
    <w:rsid w:val="00E31928"/>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E16"/>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324</Words>
  <Characters>1788</Characters>
  <Application>Microsoft Office Word</Application>
  <DocSecurity>0</DocSecurity>
  <Lines>14</Lines>
  <Paragraphs>4</Paragraphs>
  <ScaleCrop>false</ScaleCrop>
  <Company/>
  <LinksUpToDate>false</LinksUpToDate>
  <CharactersWithSpaces>2108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cp:revision>
  <dcterms:created xsi:type="dcterms:W3CDTF">2015-11-25T13:07:00Z</dcterms:created>
  <dcterms:modified xsi:type="dcterms:W3CDTF">2015-11-25T13:07:00Z</dcterms:modified>
</cp:coreProperties>
</file>