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D4A" w:rsidRPr="00ED502B" w:rsidRDefault="00644D4A" w:rsidP="00ED502B">
      <w:pPr>
        <w:spacing w:after="0" w:line="360" w:lineRule="auto"/>
        <w:rPr>
          <w:rFonts w:ascii="Arial" w:hAnsi="Arial" w:cs="Arial"/>
          <w:b/>
        </w:rPr>
      </w:pPr>
      <w:r w:rsidRPr="00ED502B">
        <w:rPr>
          <w:rFonts w:ascii="Arial" w:hAnsi="Arial" w:cs="Arial"/>
          <w:b/>
        </w:rPr>
        <w:t>LC-4174</w:t>
      </w:r>
    </w:p>
    <w:p w:rsidR="00644D4A" w:rsidRPr="00ED502B" w:rsidRDefault="00644D4A" w:rsidP="00ED502B">
      <w:pPr>
        <w:spacing w:after="0" w:line="360" w:lineRule="auto"/>
        <w:jc w:val="center"/>
        <w:rPr>
          <w:rFonts w:ascii="Arial" w:hAnsi="Arial" w:cs="Arial"/>
          <w:b/>
        </w:rPr>
      </w:pPr>
    </w:p>
    <w:p w:rsidR="00B83F44" w:rsidRPr="00ED502B" w:rsidRDefault="001424D0" w:rsidP="00ED502B">
      <w:pPr>
        <w:spacing w:after="0" w:line="360" w:lineRule="auto"/>
        <w:jc w:val="center"/>
        <w:rPr>
          <w:rFonts w:ascii="Arial" w:hAnsi="Arial" w:cs="Arial"/>
          <w:b/>
        </w:rPr>
      </w:pPr>
      <w:r w:rsidRPr="00ED502B">
        <w:rPr>
          <w:rFonts w:ascii="Arial" w:hAnsi="Arial" w:cs="Arial"/>
          <w:b/>
        </w:rPr>
        <w:t>LEY I – N° 4</w:t>
      </w:r>
      <w:r>
        <w:rPr>
          <w:rFonts w:ascii="Arial" w:hAnsi="Arial" w:cs="Arial"/>
          <w:b/>
        </w:rPr>
        <w:t>.</w:t>
      </w:r>
      <w:r w:rsidRPr="00ED502B">
        <w:rPr>
          <w:rFonts w:ascii="Arial" w:hAnsi="Arial" w:cs="Arial"/>
          <w:b/>
        </w:rPr>
        <w:t>174</w:t>
      </w:r>
    </w:p>
    <w:p w:rsidR="00644D4A" w:rsidRPr="00ED502B" w:rsidRDefault="00644D4A" w:rsidP="00ED502B">
      <w:pPr>
        <w:spacing w:after="0" w:line="360" w:lineRule="auto"/>
        <w:jc w:val="both"/>
        <w:rPr>
          <w:rFonts w:ascii="Arial" w:hAnsi="Arial" w:cs="Arial"/>
        </w:rPr>
      </w:pPr>
      <w:r w:rsidRPr="00ED502B">
        <w:rPr>
          <w:rFonts w:ascii="Arial" w:hAnsi="Arial" w:cs="Arial"/>
        </w:rPr>
        <w:t xml:space="preserve"> </w:t>
      </w:r>
    </w:p>
    <w:p w:rsidR="00644D4A" w:rsidRPr="00ED502B" w:rsidRDefault="00644D4A" w:rsidP="00ED502B">
      <w:pPr>
        <w:spacing w:after="0" w:line="360" w:lineRule="auto"/>
        <w:jc w:val="both"/>
        <w:rPr>
          <w:rFonts w:ascii="Arial" w:hAnsi="Arial" w:cs="Arial"/>
        </w:rPr>
      </w:pPr>
      <w:r w:rsidRPr="00ED502B">
        <w:rPr>
          <w:rFonts w:ascii="Arial" w:hAnsi="Arial" w:cs="Arial"/>
        </w:rPr>
        <w:t xml:space="preserve">Artículo 1°.- </w:t>
      </w:r>
      <w:proofErr w:type="spellStart"/>
      <w:r w:rsidRPr="00ED502B">
        <w:rPr>
          <w:rFonts w:ascii="Arial" w:hAnsi="Arial" w:cs="Arial"/>
        </w:rPr>
        <w:t>Determínase</w:t>
      </w:r>
      <w:proofErr w:type="spellEnd"/>
      <w:r w:rsidRPr="00ED502B">
        <w:rPr>
          <w:rFonts w:ascii="Arial" w:hAnsi="Arial" w:cs="Arial"/>
        </w:rPr>
        <w:t xml:space="preserve"> la obligación para las empresas prestadoras de servicios para telefonía móvil y servicio radioeléctrico de concentración de enlaces, Resolución 3085/99 # de la Secretaría de Comunicaciones de la Nación, de exhibir en todos sus locales comerciales, de manera clara, visible y legible, la inscripción "Señor consumidor: la Resolución 98/2010 # establece el derecho del cliente o usuario a la portabilidad numérica de telefonía móvil". </w:t>
      </w:r>
    </w:p>
    <w:p w:rsidR="00644D4A" w:rsidRPr="00ED502B" w:rsidRDefault="00644D4A" w:rsidP="00ED502B">
      <w:pPr>
        <w:spacing w:after="0" w:line="360" w:lineRule="auto"/>
        <w:jc w:val="both"/>
        <w:rPr>
          <w:rFonts w:ascii="Arial" w:hAnsi="Arial" w:cs="Arial"/>
        </w:rPr>
      </w:pPr>
    </w:p>
    <w:p w:rsidR="00644D4A" w:rsidRPr="00ED502B" w:rsidRDefault="00644D4A" w:rsidP="00ED502B">
      <w:pPr>
        <w:spacing w:after="0" w:line="360" w:lineRule="auto"/>
        <w:jc w:val="both"/>
        <w:rPr>
          <w:rFonts w:ascii="Arial" w:hAnsi="Arial" w:cs="Arial"/>
        </w:rPr>
      </w:pPr>
      <w:r w:rsidRPr="00ED502B">
        <w:rPr>
          <w:rFonts w:ascii="Arial" w:hAnsi="Arial" w:cs="Arial"/>
        </w:rPr>
        <w:t xml:space="preserve">Artículo 2º.- </w:t>
      </w:r>
      <w:proofErr w:type="spellStart"/>
      <w:r w:rsidRPr="00ED502B">
        <w:rPr>
          <w:rFonts w:ascii="Arial" w:hAnsi="Arial" w:cs="Arial"/>
        </w:rPr>
        <w:t>Entiéndese</w:t>
      </w:r>
      <w:proofErr w:type="spellEnd"/>
      <w:r w:rsidRPr="00ED502B">
        <w:rPr>
          <w:rFonts w:ascii="Arial" w:hAnsi="Arial" w:cs="Arial"/>
        </w:rPr>
        <w:t xml:space="preserve"> por Portabilidad Numérica: la conservación de los números de telefonía móvil por los clientes cuando cambien de Prestador y/o de servicio. </w:t>
      </w:r>
    </w:p>
    <w:p w:rsidR="00644D4A" w:rsidRPr="00ED502B" w:rsidRDefault="00644D4A" w:rsidP="00ED502B">
      <w:pPr>
        <w:spacing w:after="0" w:line="360" w:lineRule="auto"/>
        <w:jc w:val="both"/>
        <w:rPr>
          <w:rFonts w:ascii="Arial" w:hAnsi="Arial" w:cs="Arial"/>
        </w:rPr>
      </w:pPr>
    </w:p>
    <w:p w:rsidR="00644D4A" w:rsidRPr="00ED502B" w:rsidRDefault="00644D4A" w:rsidP="00ED502B">
      <w:pPr>
        <w:spacing w:after="0" w:line="360" w:lineRule="auto"/>
        <w:jc w:val="both"/>
        <w:rPr>
          <w:rFonts w:ascii="Arial" w:hAnsi="Arial" w:cs="Arial"/>
        </w:rPr>
      </w:pPr>
      <w:r w:rsidRPr="00ED502B">
        <w:rPr>
          <w:rFonts w:ascii="Arial" w:hAnsi="Arial" w:cs="Arial"/>
        </w:rPr>
        <w:t xml:space="preserve">Artículo 3°.- El régimen procedimental aplicable es el establecido en la Ley 757 # -Procedimiento Administrativo para la Defensa del Consumidor y del Usuario (B.O.C.B.A. N° 1432). </w:t>
      </w:r>
    </w:p>
    <w:p w:rsidR="00644D4A" w:rsidRPr="00ED502B" w:rsidRDefault="00644D4A" w:rsidP="00ED502B">
      <w:pPr>
        <w:spacing w:after="0" w:line="360" w:lineRule="auto"/>
        <w:jc w:val="both"/>
        <w:rPr>
          <w:rFonts w:ascii="Arial" w:hAnsi="Arial" w:cs="Arial"/>
        </w:rPr>
      </w:pPr>
    </w:p>
    <w:p w:rsidR="00644D4A" w:rsidRPr="00ED502B" w:rsidRDefault="00644D4A" w:rsidP="00ED502B">
      <w:pPr>
        <w:spacing w:after="0" w:line="360" w:lineRule="auto"/>
        <w:jc w:val="both"/>
        <w:rPr>
          <w:rFonts w:ascii="Arial" w:hAnsi="Arial" w:cs="Arial"/>
        </w:rPr>
      </w:pPr>
      <w:r w:rsidRPr="00ED502B">
        <w:rPr>
          <w:rFonts w:ascii="Arial" w:hAnsi="Arial" w:cs="Arial"/>
        </w:rPr>
        <w:t xml:space="preserve">Artículo 4°.- La violación o incumplimiento de lo instituido en el artículo 1° de la presente ley serán pasibles de las sanciones previstas en las Leyes Nacionales de Defensa del Consumidor (24.240 #) y de Lealtad Comercial (22.802 #), sus modificatorias, y demás disposiciones vigentes. </w:t>
      </w:r>
    </w:p>
    <w:p w:rsidR="00644D4A" w:rsidRPr="00ED502B" w:rsidRDefault="00644D4A" w:rsidP="00ED502B">
      <w:pPr>
        <w:spacing w:after="0" w:line="360" w:lineRule="auto"/>
        <w:jc w:val="both"/>
        <w:rPr>
          <w:rFonts w:ascii="Arial" w:hAnsi="Arial" w:cs="Arial"/>
        </w:rPr>
      </w:pPr>
    </w:p>
    <w:p w:rsidR="00644D4A" w:rsidRPr="00ED502B" w:rsidRDefault="00644D4A" w:rsidP="00ED502B">
      <w:pPr>
        <w:spacing w:after="0" w:line="360" w:lineRule="auto"/>
        <w:jc w:val="both"/>
        <w:rPr>
          <w:rFonts w:ascii="Arial" w:hAnsi="Arial" w:cs="Arial"/>
        </w:rPr>
      </w:pPr>
      <w:r w:rsidRPr="00ED502B">
        <w:rPr>
          <w:rFonts w:ascii="Arial" w:hAnsi="Arial" w:cs="Arial"/>
        </w:rPr>
        <w:t xml:space="preserve">Artículo 5°.- La máxima autoridad del Gobierno de la Ciudad en materia de Defensa de los Consumidores y Usuarios, será la autoridad de aplicación a los efectos de esta ley. </w:t>
      </w:r>
    </w:p>
    <w:p w:rsidR="001424D0" w:rsidRPr="00ED502B" w:rsidRDefault="001424D0" w:rsidP="00ED502B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66"/>
        <w:gridCol w:w="4023"/>
      </w:tblGrid>
      <w:tr w:rsidR="00644D4A" w:rsidRPr="00ED502B" w:rsidTr="00ED502B">
        <w:trPr>
          <w:trHeight w:val="774"/>
          <w:jc w:val="center"/>
        </w:trPr>
        <w:tc>
          <w:tcPr>
            <w:tcW w:w="8789" w:type="dxa"/>
            <w:gridSpan w:val="2"/>
            <w:vAlign w:val="center"/>
          </w:tcPr>
          <w:p w:rsidR="00644D4A" w:rsidRPr="00ED502B" w:rsidRDefault="00644D4A" w:rsidP="00ED502B">
            <w:pPr>
              <w:spacing w:before="240" w:after="0" w:line="360" w:lineRule="auto"/>
              <w:jc w:val="center"/>
              <w:rPr>
                <w:rFonts w:ascii="Arial" w:hAnsi="Arial" w:cs="Arial"/>
                <w:b/>
              </w:rPr>
            </w:pPr>
            <w:r w:rsidRPr="00ED502B">
              <w:rPr>
                <w:rFonts w:ascii="Arial" w:hAnsi="Arial" w:cs="Arial"/>
                <w:b/>
              </w:rPr>
              <w:t xml:space="preserve">LEY I </w:t>
            </w:r>
            <w:r w:rsidR="001424D0">
              <w:rPr>
                <w:rFonts w:ascii="Arial" w:hAnsi="Arial" w:cs="Arial"/>
                <w:b/>
              </w:rPr>
              <w:t xml:space="preserve">- </w:t>
            </w:r>
            <w:r w:rsidRPr="00ED502B">
              <w:rPr>
                <w:rFonts w:ascii="Arial" w:hAnsi="Arial" w:cs="Arial"/>
                <w:b/>
              </w:rPr>
              <w:t>N° 4</w:t>
            </w:r>
            <w:r w:rsidR="001424D0">
              <w:rPr>
                <w:rFonts w:ascii="Arial" w:hAnsi="Arial" w:cs="Arial"/>
                <w:b/>
              </w:rPr>
              <w:t>.</w:t>
            </w:r>
            <w:r w:rsidRPr="00ED502B">
              <w:rPr>
                <w:rFonts w:ascii="Arial" w:hAnsi="Arial" w:cs="Arial"/>
                <w:b/>
              </w:rPr>
              <w:t>174</w:t>
            </w:r>
          </w:p>
          <w:p w:rsidR="00B83F44" w:rsidRPr="00ED502B" w:rsidRDefault="00644D4A" w:rsidP="00ED502B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ED502B">
              <w:rPr>
                <w:rFonts w:ascii="Arial" w:hAnsi="Arial" w:cs="Arial"/>
                <w:b/>
              </w:rPr>
              <w:t>TABLA DE ANTECEDENTES</w:t>
            </w:r>
          </w:p>
        </w:tc>
      </w:tr>
      <w:tr w:rsidR="00644D4A" w:rsidRPr="00ED502B" w:rsidTr="00581AC9">
        <w:trPr>
          <w:trHeight w:val="596"/>
          <w:jc w:val="center"/>
        </w:trPr>
        <w:tc>
          <w:tcPr>
            <w:tcW w:w="4766" w:type="dxa"/>
            <w:vAlign w:val="center"/>
          </w:tcPr>
          <w:p w:rsidR="00644D4A" w:rsidRPr="00ED502B" w:rsidRDefault="00644D4A" w:rsidP="00ED502B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D502B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4023" w:type="dxa"/>
            <w:vAlign w:val="center"/>
          </w:tcPr>
          <w:p w:rsidR="00644D4A" w:rsidRPr="00ED502B" w:rsidRDefault="00644D4A" w:rsidP="00ED502B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D502B">
              <w:rPr>
                <w:rFonts w:ascii="Arial" w:hAnsi="Arial" w:cs="Arial"/>
                <w:b/>
              </w:rPr>
              <w:t>Fuente</w:t>
            </w:r>
          </w:p>
        </w:tc>
      </w:tr>
      <w:tr w:rsidR="00644D4A" w:rsidRPr="00ED502B" w:rsidTr="00ED502B">
        <w:trPr>
          <w:trHeight w:val="551"/>
          <w:jc w:val="center"/>
        </w:trPr>
        <w:tc>
          <w:tcPr>
            <w:tcW w:w="8789" w:type="dxa"/>
            <w:gridSpan w:val="2"/>
            <w:vAlign w:val="center"/>
          </w:tcPr>
          <w:p w:rsidR="00B83F44" w:rsidRPr="00ED502B" w:rsidRDefault="00644D4A" w:rsidP="00ED502B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ED502B">
              <w:rPr>
                <w:rFonts w:ascii="Arial" w:hAnsi="Arial" w:cs="Arial"/>
              </w:rPr>
              <w:t>Todos los artículos de este Texto Definitivo provienen del texto original de la Ley 4</w:t>
            </w:r>
            <w:r w:rsidR="001424D0">
              <w:rPr>
                <w:rFonts w:ascii="Arial" w:hAnsi="Arial" w:cs="Arial"/>
              </w:rPr>
              <w:t>.</w:t>
            </w:r>
            <w:r w:rsidRPr="00ED502B">
              <w:rPr>
                <w:rFonts w:ascii="Arial" w:hAnsi="Arial" w:cs="Arial"/>
              </w:rPr>
              <w:t>174</w:t>
            </w:r>
          </w:p>
        </w:tc>
      </w:tr>
    </w:tbl>
    <w:p w:rsidR="001424D0" w:rsidRPr="00ED502B" w:rsidRDefault="001424D0" w:rsidP="001424D0">
      <w:pPr>
        <w:spacing w:after="0"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34"/>
        <w:gridCol w:w="3675"/>
        <w:gridCol w:w="2180"/>
      </w:tblGrid>
      <w:tr w:rsidR="00644D4A" w:rsidRPr="00ED502B" w:rsidTr="00ED502B">
        <w:trPr>
          <w:trHeight w:val="855"/>
          <w:jc w:val="center"/>
        </w:trPr>
        <w:tc>
          <w:tcPr>
            <w:tcW w:w="8789" w:type="dxa"/>
            <w:gridSpan w:val="3"/>
            <w:vAlign w:val="center"/>
          </w:tcPr>
          <w:p w:rsidR="00644D4A" w:rsidRPr="00ED502B" w:rsidRDefault="00644D4A" w:rsidP="00ED502B">
            <w:pPr>
              <w:spacing w:before="240" w:after="0" w:line="360" w:lineRule="auto"/>
              <w:jc w:val="center"/>
              <w:rPr>
                <w:rFonts w:ascii="Arial" w:hAnsi="Arial" w:cs="Arial"/>
                <w:b/>
              </w:rPr>
            </w:pPr>
            <w:r w:rsidRPr="00ED502B">
              <w:rPr>
                <w:rFonts w:ascii="Arial" w:hAnsi="Arial" w:cs="Arial"/>
                <w:b/>
              </w:rPr>
              <w:t xml:space="preserve">LEY I </w:t>
            </w:r>
            <w:r w:rsidR="001424D0">
              <w:rPr>
                <w:rFonts w:ascii="Arial" w:hAnsi="Arial" w:cs="Arial"/>
                <w:b/>
              </w:rPr>
              <w:t xml:space="preserve">- </w:t>
            </w:r>
            <w:r w:rsidRPr="00ED502B">
              <w:rPr>
                <w:rFonts w:ascii="Arial" w:hAnsi="Arial" w:cs="Arial"/>
                <w:b/>
              </w:rPr>
              <w:t>N° 4</w:t>
            </w:r>
            <w:r w:rsidR="001424D0">
              <w:rPr>
                <w:rFonts w:ascii="Arial" w:hAnsi="Arial" w:cs="Arial"/>
                <w:b/>
              </w:rPr>
              <w:t>.</w:t>
            </w:r>
            <w:r w:rsidRPr="00ED502B">
              <w:rPr>
                <w:rFonts w:ascii="Arial" w:hAnsi="Arial" w:cs="Arial"/>
                <w:b/>
              </w:rPr>
              <w:t>174</w:t>
            </w:r>
          </w:p>
          <w:p w:rsidR="00644D4A" w:rsidRPr="00ED502B" w:rsidRDefault="00644D4A" w:rsidP="00ED502B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ED502B">
              <w:rPr>
                <w:rFonts w:ascii="Arial" w:hAnsi="Arial" w:cs="Arial"/>
                <w:b/>
              </w:rPr>
              <w:t>TABLA DE EQUIVALENCIAS</w:t>
            </w:r>
          </w:p>
        </w:tc>
      </w:tr>
      <w:tr w:rsidR="00644D4A" w:rsidRPr="00ED502B" w:rsidTr="00581AC9">
        <w:trPr>
          <w:trHeight w:val="732"/>
          <w:jc w:val="center"/>
        </w:trPr>
        <w:tc>
          <w:tcPr>
            <w:tcW w:w="2934" w:type="dxa"/>
            <w:vAlign w:val="center"/>
          </w:tcPr>
          <w:p w:rsidR="00644D4A" w:rsidRPr="00ED502B" w:rsidRDefault="00644D4A" w:rsidP="00ED502B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D502B">
              <w:rPr>
                <w:rFonts w:ascii="Arial" w:hAnsi="Arial" w:cs="Arial"/>
                <w:b/>
              </w:rPr>
              <w:t>Número del Artículo del Texto Definitivo</w:t>
            </w:r>
          </w:p>
        </w:tc>
        <w:tc>
          <w:tcPr>
            <w:tcW w:w="3675" w:type="dxa"/>
            <w:vAlign w:val="center"/>
          </w:tcPr>
          <w:p w:rsidR="00644D4A" w:rsidRPr="00581AC9" w:rsidRDefault="00644D4A" w:rsidP="00581AC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D502B">
              <w:rPr>
                <w:rFonts w:ascii="Arial" w:hAnsi="Arial" w:cs="Arial"/>
                <w:b/>
              </w:rPr>
              <w:t>Número de Artículo del Texto de Referencia</w:t>
            </w:r>
            <w:r w:rsidR="00581AC9">
              <w:rPr>
                <w:rFonts w:ascii="Arial" w:hAnsi="Arial" w:cs="Arial"/>
                <w:b/>
              </w:rPr>
              <w:t xml:space="preserve"> </w:t>
            </w:r>
            <w:r w:rsidRPr="00ED502B">
              <w:rPr>
                <w:rFonts w:ascii="Arial" w:hAnsi="Arial" w:cs="Arial"/>
                <w:b/>
              </w:rPr>
              <w:t>(Ley 4</w:t>
            </w:r>
            <w:r w:rsidR="001424D0">
              <w:rPr>
                <w:rFonts w:ascii="Arial" w:hAnsi="Arial" w:cs="Arial"/>
                <w:b/>
              </w:rPr>
              <w:t>.</w:t>
            </w:r>
            <w:r w:rsidRPr="00ED502B">
              <w:rPr>
                <w:rFonts w:ascii="Arial" w:hAnsi="Arial" w:cs="Arial"/>
                <w:b/>
              </w:rPr>
              <w:t>174)</w:t>
            </w:r>
          </w:p>
        </w:tc>
        <w:tc>
          <w:tcPr>
            <w:tcW w:w="2180" w:type="dxa"/>
            <w:vAlign w:val="center"/>
          </w:tcPr>
          <w:p w:rsidR="00644D4A" w:rsidRPr="00ED502B" w:rsidRDefault="00644D4A" w:rsidP="00ED502B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D502B">
              <w:rPr>
                <w:rFonts w:ascii="Arial" w:hAnsi="Arial" w:cs="Arial"/>
                <w:b/>
              </w:rPr>
              <w:t>Observaciones</w:t>
            </w:r>
          </w:p>
        </w:tc>
      </w:tr>
      <w:tr w:rsidR="00644D4A" w:rsidRPr="00ED502B" w:rsidTr="00ED502B">
        <w:trPr>
          <w:trHeight w:val="894"/>
          <w:jc w:val="center"/>
        </w:trPr>
        <w:tc>
          <w:tcPr>
            <w:tcW w:w="8789" w:type="dxa"/>
            <w:gridSpan w:val="3"/>
            <w:vAlign w:val="center"/>
          </w:tcPr>
          <w:p w:rsidR="00644D4A" w:rsidRPr="00ED502B" w:rsidRDefault="00644D4A" w:rsidP="00ED502B">
            <w:pPr>
              <w:tabs>
                <w:tab w:val="left" w:pos="3423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ED502B">
              <w:rPr>
                <w:rFonts w:ascii="Arial" w:hAnsi="Arial" w:cs="Arial"/>
              </w:rPr>
              <w:lastRenderedPageBreak/>
              <w:t>La numeración de los artículos del Texto Definitivo corresponde a la numeración original de la Ley 4</w:t>
            </w:r>
            <w:r w:rsidR="001424D0">
              <w:rPr>
                <w:rFonts w:ascii="Arial" w:hAnsi="Arial" w:cs="Arial"/>
              </w:rPr>
              <w:t>.</w:t>
            </w:r>
            <w:r w:rsidRPr="00ED502B">
              <w:rPr>
                <w:rFonts w:ascii="Arial" w:hAnsi="Arial" w:cs="Arial"/>
              </w:rPr>
              <w:t>174.</w:t>
            </w:r>
          </w:p>
        </w:tc>
      </w:tr>
    </w:tbl>
    <w:p w:rsidR="00644D4A" w:rsidRPr="00ED502B" w:rsidRDefault="00644D4A" w:rsidP="00ED502B">
      <w:pPr>
        <w:spacing w:after="0" w:line="360" w:lineRule="auto"/>
        <w:rPr>
          <w:rFonts w:ascii="Arial" w:hAnsi="Arial" w:cs="Arial"/>
        </w:rPr>
      </w:pPr>
    </w:p>
    <w:p w:rsidR="00B83F44" w:rsidRPr="00ED502B" w:rsidRDefault="00644D4A" w:rsidP="00ED502B">
      <w:pPr>
        <w:spacing w:after="0" w:line="360" w:lineRule="auto"/>
        <w:rPr>
          <w:rFonts w:ascii="Arial" w:hAnsi="Arial" w:cs="Arial"/>
          <w:b/>
        </w:rPr>
      </w:pPr>
      <w:r w:rsidRPr="00ED502B">
        <w:rPr>
          <w:rFonts w:ascii="Arial" w:hAnsi="Arial" w:cs="Arial"/>
          <w:b/>
          <w:u w:val="single"/>
        </w:rPr>
        <w:t>Observaciones Generales</w:t>
      </w:r>
      <w:r w:rsidRPr="00ED502B">
        <w:rPr>
          <w:rFonts w:ascii="Arial" w:hAnsi="Arial" w:cs="Arial"/>
          <w:b/>
        </w:rPr>
        <w:t>:</w:t>
      </w:r>
    </w:p>
    <w:p w:rsidR="00644D4A" w:rsidRDefault="00644D4A" w:rsidP="00C45E44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563C6D">
        <w:rPr>
          <w:rFonts w:ascii="Arial" w:hAnsi="Arial" w:cs="Arial"/>
        </w:rPr>
        <w:t># La presente Ley contiene remisiones externas #</w:t>
      </w:r>
    </w:p>
    <w:p w:rsidR="00563C6D" w:rsidRDefault="00C45E44" w:rsidP="00C45E44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BA49BB">
        <w:rPr>
          <w:rFonts w:ascii="Arial" w:hAnsi="Arial" w:cs="Arial"/>
          <w:lang w:eastAsia="es-AR"/>
        </w:rPr>
        <w:t xml:space="preserve">La Resolución Nacional N° 3085/1999 de la Secretaría de Comunicaciones citada </w:t>
      </w:r>
      <w:r>
        <w:rPr>
          <w:rFonts w:ascii="Arial" w:hAnsi="Arial" w:cs="Arial"/>
          <w:lang w:eastAsia="es-AR"/>
        </w:rPr>
        <w:t xml:space="preserve">en el Art. 1° de la presente Ley, </w:t>
      </w:r>
      <w:r w:rsidRPr="00BA49BB">
        <w:rPr>
          <w:rFonts w:ascii="Arial" w:hAnsi="Arial" w:cs="Arial"/>
          <w:lang w:eastAsia="es-AR"/>
        </w:rPr>
        <w:t>fue abrogada por el Art 1° de la Resolución Nacional N° 31/2011 de la Secretaría de Comunicaciones</w:t>
      </w:r>
      <w:r>
        <w:rPr>
          <w:rFonts w:ascii="Arial" w:hAnsi="Arial" w:cs="Arial"/>
          <w:lang w:eastAsia="es-AR"/>
        </w:rPr>
        <w:t>, BO 22/03/2011.</w:t>
      </w:r>
    </w:p>
    <w:p w:rsidR="00C45E44" w:rsidRPr="00563C6D" w:rsidRDefault="00C45E44" w:rsidP="00C45E44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lang w:eastAsia="es-AR"/>
        </w:rPr>
        <w:t>La Resolución Nacional N° 98/2010 de la Secretaría de Comunicaciones, BO 19/08/2010, aprueba el Régimen de Portabilidad Numérica.</w:t>
      </w:r>
    </w:p>
    <w:p w:rsidR="00A552B6" w:rsidRPr="00ED502B" w:rsidRDefault="00A552B6" w:rsidP="00C45E44">
      <w:pPr>
        <w:spacing w:after="0" w:line="360" w:lineRule="auto"/>
        <w:jc w:val="both"/>
      </w:pPr>
    </w:p>
    <w:sectPr w:rsidR="00A552B6" w:rsidRPr="00ED502B" w:rsidSect="00ED502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EE2935"/>
    <w:multiLevelType w:val="hybridMultilevel"/>
    <w:tmpl w:val="11261D7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44D4A"/>
    <w:rsid w:val="000662D9"/>
    <w:rsid w:val="00080F17"/>
    <w:rsid w:val="00102DC9"/>
    <w:rsid w:val="001424D0"/>
    <w:rsid w:val="003D02C6"/>
    <w:rsid w:val="004A4CBE"/>
    <w:rsid w:val="00563C6D"/>
    <w:rsid w:val="00581AC9"/>
    <w:rsid w:val="005B6A09"/>
    <w:rsid w:val="00644D4A"/>
    <w:rsid w:val="006835F8"/>
    <w:rsid w:val="00882E0F"/>
    <w:rsid w:val="009630A0"/>
    <w:rsid w:val="009B65A8"/>
    <w:rsid w:val="00A552B6"/>
    <w:rsid w:val="00AA75E0"/>
    <w:rsid w:val="00B83F44"/>
    <w:rsid w:val="00C45E44"/>
    <w:rsid w:val="00CF3978"/>
    <w:rsid w:val="00D02209"/>
    <w:rsid w:val="00ED5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D4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63C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334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2014-09-15T14:03:00Z</dcterms:created>
  <dcterms:modified xsi:type="dcterms:W3CDTF">2015-10-09T22:33:00Z</dcterms:modified>
</cp:coreProperties>
</file>