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F4609C" w:rsidRDefault="00C81A54" w:rsidP="00F4609C">
      <w:pPr>
        <w:spacing w:line="360" w:lineRule="auto"/>
        <w:rPr>
          <w:rFonts w:ascii="Arial" w:hAnsi="Arial" w:cs="Arial"/>
          <w:b/>
          <w:sz w:val="22"/>
          <w:szCs w:val="22"/>
        </w:rPr>
      </w:pPr>
      <w:r w:rsidRPr="00F4609C">
        <w:rPr>
          <w:rFonts w:ascii="Arial" w:hAnsi="Arial" w:cs="Arial"/>
          <w:b/>
          <w:sz w:val="22"/>
          <w:szCs w:val="22"/>
        </w:rPr>
        <w:t>LC-3968</w:t>
      </w:r>
    </w:p>
    <w:p w:rsidR="00F4609C" w:rsidRDefault="00F4609C" w:rsidP="00F4609C">
      <w:pPr>
        <w:spacing w:line="360" w:lineRule="auto"/>
        <w:jc w:val="center"/>
        <w:rPr>
          <w:rFonts w:ascii="Arial" w:hAnsi="Arial" w:cs="Arial"/>
          <w:b/>
          <w:sz w:val="22"/>
          <w:szCs w:val="22"/>
        </w:rPr>
      </w:pPr>
    </w:p>
    <w:p w:rsidR="0009329B" w:rsidRPr="00F4609C" w:rsidRDefault="0009329B" w:rsidP="00160DCB">
      <w:pPr>
        <w:pStyle w:val="NormalWeb"/>
        <w:spacing w:before="0" w:beforeAutospacing="0" w:after="0" w:afterAutospacing="0" w:line="360" w:lineRule="auto"/>
        <w:jc w:val="center"/>
        <w:rPr>
          <w:rFonts w:ascii="Arial" w:hAnsi="Arial" w:cs="Arial"/>
          <w:b/>
          <w:sz w:val="22"/>
          <w:szCs w:val="22"/>
        </w:rPr>
      </w:pPr>
      <w:r w:rsidRPr="00F4609C">
        <w:rPr>
          <w:rFonts w:ascii="Arial" w:hAnsi="Arial" w:cs="Arial"/>
          <w:b/>
          <w:sz w:val="22"/>
          <w:szCs w:val="22"/>
        </w:rPr>
        <w:t xml:space="preserve">LEY </w:t>
      </w:r>
      <w:r w:rsidR="003F1762" w:rsidRPr="00F4609C">
        <w:rPr>
          <w:rFonts w:ascii="Arial" w:hAnsi="Arial" w:cs="Arial"/>
          <w:b/>
          <w:sz w:val="22"/>
          <w:szCs w:val="22"/>
        </w:rPr>
        <w:t xml:space="preserve"> </w:t>
      </w:r>
      <w:r w:rsidR="00C81A54" w:rsidRPr="00F4609C">
        <w:rPr>
          <w:rFonts w:ascii="Arial" w:hAnsi="Arial" w:cs="Arial"/>
          <w:b/>
          <w:sz w:val="22"/>
          <w:szCs w:val="22"/>
        </w:rPr>
        <w:t xml:space="preserve">H </w:t>
      </w:r>
      <w:r w:rsidRPr="00F4609C">
        <w:rPr>
          <w:rFonts w:ascii="Arial" w:hAnsi="Arial" w:cs="Arial"/>
          <w:b/>
          <w:sz w:val="22"/>
          <w:szCs w:val="22"/>
        </w:rPr>
        <w:t xml:space="preserve">- N° </w:t>
      </w:r>
      <w:r w:rsidR="00C81A54" w:rsidRPr="00F4609C">
        <w:rPr>
          <w:rFonts w:ascii="Arial" w:hAnsi="Arial" w:cs="Arial"/>
          <w:b/>
          <w:sz w:val="22"/>
          <w:szCs w:val="22"/>
        </w:rPr>
        <w:t>3</w:t>
      </w:r>
      <w:r w:rsidR="00F4609C">
        <w:rPr>
          <w:rFonts w:ascii="Arial" w:hAnsi="Arial" w:cs="Arial"/>
          <w:b/>
          <w:sz w:val="22"/>
          <w:szCs w:val="22"/>
        </w:rPr>
        <w:t>.</w:t>
      </w:r>
      <w:r w:rsidR="00C81A54" w:rsidRPr="00F4609C">
        <w:rPr>
          <w:rFonts w:ascii="Arial" w:hAnsi="Arial" w:cs="Arial"/>
          <w:b/>
          <w:sz w:val="22"/>
          <w:szCs w:val="22"/>
        </w:rPr>
        <w:t>968</w:t>
      </w:r>
    </w:p>
    <w:p w:rsidR="00C81A54" w:rsidRPr="00F4609C" w:rsidRDefault="00C81A54" w:rsidP="00F4609C">
      <w:pPr>
        <w:spacing w:line="360" w:lineRule="auto"/>
        <w:jc w:val="both"/>
        <w:rPr>
          <w:rFonts w:ascii="Arial" w:hAnsi="Arial" w:cs="Arial"/>
          <w:b/>
          <w:bCs/>
          <w:sz w:val="22"/>
          <w:szCs w:val="22"/>
          <w:lang w:val="es-AR"/>
        </w:rPr>
      </w:pPr>
    </w:p>
    <w:p w:rsidR="00C81A54" w:rsidRPr="00F4609C" w:rsidRDefault="00160DCB" w:rsidP="00160DCB">
      <w:pPr>
        <w:spacing w:line="360" w:lineRule="auto"/>
        <w:jc w:val="center"/>
        <w:rPr>
          <w:rFonts w:ascii="Arial" w:hAnsi="Arial" w:cs="Arial"/>
          <w:sz w:val="22"/>
          <w:szCs w:val="22"/>
          <w:lang w:val="es-AR"/>
        </w:rPr>
      </w:pPr>
      <w:r w:rsidRPr="00F4609C">
        <w:rPr>
          <w:rFonts w:ascii="Arial" w:hAnsi="Arial" w:cs="Arial"/>
          <w:sz w:val="22"/>
          <w:szCs w:val="22"/>
          <w:lang w:val="es-AR"/>
        </w:rPr>
        <w:t>CAPÍTULO I. DISPOSICIONES GENERALES.</w:t>
      </w:r>
    </w:p>
    <w:p w:rsidR="00C81A54" w:rsidRPr="00F4609C" w:rsidRDefault="00C81A54" w:rsidP="00F4609C">
      <w:pPr>
        <w:spacing w:line="360" w:lineRule="auto"/>
        <w:jc w:val="both"/>
        <w:rPr>
          <w:rFonts w:ascii="Arial" w:hAnsi="Arial" w:cs="Arial"/>
          <w:sz w:val="22"/>
          <w:szCs w:val="22"/>
          <w:lang w:val="es-AR"/>
        </w:rPr>
      </w:pP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 xml:space="preserve">Artículo 1º.- </w:t>
      </w:r>
      <w:r w:rsidRPr="00F4609C">
        <w:rPr>
          <w:rFonts w:ascii="Arial" w:hAnsi="Arial" w:cs="Arial"/>
          <w:i/>
          <w:sz w:val="22"/>
          <w:szCs w:val="22"/>
          <w:lang w:val="es-AR"/>
        </w:rPr>
        <w:t xml:space="preserve">Objeto- </w:t>
      </w:r>
      <w:r w:rsidRPr="00F4609C">
        <w:rPr>
          <w:rFonts w:ascii="Arial" w:hAnsi="Arial" w:cs="Arial"/>
          <w:sz w:val="22"/>
          <w:szCs w:val="22"/>
          <w:lang w:val="es-AR"/>
        </w:rPr>
        <w:t>La presente Ley establece un sistema de vigilancia y auditoría de muertes infantiles en todos los subsectores del sistema de salud de la ciudad, con el objeto de adoptar medidas con la finalidad de reducir la mortalidad infantil.</w:t>
      </w:r>
    </w:p>
    <w:p w:rsidR="00C81A54" w:rsidRPr="00F4609C" w:rsidRDefault="00C81A54" w:rsidP="00F4609C">
      <w:pPr>
        <w:spacing w:line="360" w:lineRule="auto"/>
        <w:jc w:val="both"/>
        <w:rPr>
          <w:rFonts w:ascii="Arial" w:hAnsi="Arial" w:cs="Arial"/>
          <w:sz w:val="22"/>
          <w:szCs w:val="22"/>
          <w:lang w:val="es-AR"/>
        </w:rPr>
      </w:pP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 xml:space="preserve">Artículo 2º.- </w:t>
      </w:r>
      <w:r w:rsidRPr="00F4609C">
        <w:rPr>
          <w:rFonts w:ascii="Arial" w:hAnsi="Arial" w:cs="Arial"/>
          <w:i/>
          <w:sz w:val="22"/>
          <w:szCs w:val="22"/>
          <w:lang w:val="es-AR"/>
        </w:rPr>
        <w:t>Muerte infantil</w:t>
      </w:r>
      <w:r w:rsidRPr="00F4609C">
        <w:rPr>
          <w:rFonts w:ascii="Arial" w:hAnsi="Arial" w:cs="Arial"/>
          <w:sz w:val="22"/>
          <w:szCs w:val="22"/>
          <w:lang w:val="es-AR"/>
        </w:rPr>
        <w:t>- Se entiende por muerte infantil toda defunción de un/a niño/a menor de un año de edad.</w:t>
      </w:r>
    </w:p>
    <w:p w:rsidR="00C81A54" w:rsidRPr="00F4609C" w:rsidRDefault="00C81A54" w:rsidP="00F4609C">
      <w:pPr>
        <w:spacing w:line="360" w:lineRule="auto"/>
        <w:jc w:val="both"/>
        <w:rPr>
          <w:rFonts w:ascii="Arial" w:hAnsi="Arial" w:cs="Arial"/>
          <w:sz w:val="22"/>
          <w:szCs w:val="22"/>
          <w:lang w:val="es-AR"/>
        </w:rPr>
      </w:pP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 xml:space="preserve">Artículo 3º.- </w:t>
      </w:r>
      <w:r w:rsidRPr="00F4609C">
        <w:rPr>
          <w:rFonts w:ascii="Arial" w:hAnsi="Arial" w:cs="Arial"/>
          <w:i/>
          <w:sz w:val="22"/>
          <w:szCs w:val="22"/>
          <w:lang w:val="es-AR"/>
        </w:rPr>
        <w:t>Autoridad de aplicación</w:t>
      </w:r>
      <w:r w:rsidRPr="00F4609C">
        <w:rPr>
          <w:rFonts w:ascii="Arial" w:hAnsi="Arial" w:cs="Arial"/>
          <w:sz w:val="22"/>
          <w:szCs w:val="22"/>
          <w:lang w:val="es-AR"/>
        </w:rPr>
        <w:t>- El Ministerio de Salud es autoridad de aplicación de la presente Ley.</w:t>
      </w:r>
    </w:p>
    <w:p w:rsidR="00C81A54" w:rsidRPr="00F4609C" w:rsidRDefault="00C81A54" w:rsidP="00F4609C">
      <w:pPr>
        <w:spacing w:line="360" w:lineRule="auto"/>
        <w:jc w:val="both"/>
        <w:rPr>
          <w:rFonts w:ascii="Arial" w:hAnsi="Arial" w:cs="Arial"/>
          <w:sz w:val="22"/>
          <w:szCs w:val="22"/>
          <w:lang w:val="es-AR"/>
        </w:rPr>
      </w:pP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 xml:space="preserve">Artículo 4º.- </w:t>
      </w:r>
      <w:r w:rsidRPr="00F4609C">
        <w:rPr>
          <w:rFonts w:ascii="Arial" w:hAnsi="Arial" w:cs="Arial"/>
          <w:i/>
          <w:sz w:val="22"/>
          <w:szCs w:val="22"/>
          <w:lang w:val="es-AR"/>
        </w:rPr>
        <w:t>Objetivos específicos</w:t>
      </w:r>
      <w:r w:rsidRPr="00F4609C">
        <w:rPr>
          <w:rFonts w:ascii="Arial" w:hAnsi="Arial" w:cs="Arial"/>
          <w:sz w:val="22"/>
          <w:szCs w:val="22"/>
          <w:lang w:val="es-AR"/>
        </w:rPr>
        <w:t>- Son objetivos de la presente Ley:</w:t>
      </w:r>
    </w:p>
    <w:p w:rsidR="00C81A54" w:rsidRPr="00160DCB" w:rsidRDefault="00C81A54" w:rsidP="00160DCB">
      <w:pPr>
        <w:pStyle w:val="Prrafodelista"/>
        <w:numPr>
          <w:ilvl w:val="0"/>
          <w:numId w:val="2"/>
        </w:numPr>
        <w:spacing w:line="360" w:lineRule="auto"/>
        <w:ind w:left="567" w:hanging="567"/>
        <w:jc w:val="both"/>
        <w:rPr>
          <w:rFonts w:ascii="Arial" w:hAnsi="Arial" w:cs="Arial"/>
          <w:sz w:val="22"/>
          <w:szCs w:val="22"/>
          <w:lang w:val="es-AR"/>
        </w:rPr>
      </w:pPr>
      <w:r w:rsidRPr="00160DCB">
        <w:rPr>
          <w:rFonts w:ascii="Arial" w:hAnsi="Arial" w:cs="Arial"/>
          <w:sz w:val="22"/>
          <w:szCs w:val="22"/>
          <w:lang w:val="es-AR"/>
        </w:rPr>
        <w:t>Contribuir con la reducción de la mortalidad infantil.</w:t>
      </w:r>
    </w:p>
    <w:p w:rsidR="00C81A54" w:rsidRPr="00160DCB" w:rsidRDefault="00C81A54" w:rsidP="00160DCB">
      <w:pPr>
        <w:pStyle w:val="Prrafodelista"/>
        <w:numPr>
          <w:ilvl w:val="0"/>
          <w:numId w:val="2"/>
        </w:numPr>
        <w:spacing w:line="360" w:lineRule="auto"/>
        <w:ind w:left="567" w:hanging="567"/>
        <w:jc w:val="both"/>
        <w:rPr>
          <w:rFonts w:ascii="Arial" w:hAnsi="Arial" w:cs="Arial"/>
          <w:sz w:val="22"/>
          <w:szCs w:val="22"/>
          <w:lang w:val="es-AR"/>
        </w:rPr>
      </w:pPr>
      <w:r w:rsidRPr="00160DCB">
        <w:rPr>
          <w:rFonts w:ascii="Arial" w:hAnsi="Arial" w:cs="Arial"/>
          <w:sz w:val="22"/>
          <w:szCs w:val="22"/>
          <w:lang w:val="es-AR"/>
        </w:rPr>
        <w:t>Generar información sobre muertes infantiles.</w:t>
      </w:r>
    </w:p>
    <w:p w:rsidR="00C81A54" w:rsidRPr="00160DCB" w:rsidRDefault="00C81A54" w:rsidP="00160DCB">
      <w:pPr>
        <w:pStyle w:val="Prrafodelista"/>
        <w:numPr>
          <w:ilvl w:val="0"/>
          <w:numId w:val="2"/>
        </w:numPr>
        <w:spacing w:line="360" w:lineRule="auto"/>
        <w:ind w:left="567" w:hanging="567"/>
        <w:jc w:val="both"/>
        <w:rPr>
          <w:rFonts w:ascii="Arial" w:hAnsi="Arial" w:cs="Arial"/>
          <w:sz w:val="22"/>
          <w:szCs w:val="22"/>
          <w:lang w:val="es-AR"/>
        </w:rPr>
      </w:pPr>
      <w:r w:rsidRPr="00160DCB">
        <w:rPr>
          <w:rFonts w:ascii="Arial" w:hAnsi="Arial" w:cs="Arial"/>
          <w:sz w:val="22"/>
          <w:szCs w:val="22"/>
          <w:lang w:val="es-AR"/>
        </w:rPr>
        <w:t>Favorecer el establecimiento de medidas para revertir situaciones emergentes.</w:t>
      </w:r>
    </w:p>
    <w:p w:rsidR="00C81A54" w:rsidRPr="00160DCB" w:rsidRDefault="00C81A54" w:rsidP="00160DCB">
      <w:pPr>
        <w:pStyle w:val="Prrafodelista"/>
        <w:numPr>
          <w:ilvl w:val="0"/>
          <w:numId w:val="2"/>
        </w:numPr>
        <w:spacing w:line="360" w:lineRule="auto"/>
        <w:ind w:left="567" w:hanging="567"/>
        <w:jc w:val="both"/>
        <w:rPr>
          <w:rFonts w:ascii="Arial" w:hAnsi="Arial" w:cs="Arial"/>
          <w:sz w:val="22"/>
          <w:szCs w:val="22"/>
          <w:lang w:val="es-AR"/>
        </w:rPr>
      </w:pPr>
      <w:r w:rsidRPr="00160DCB">
        <w:rPr>
          <w:rFonts w:ascii="Arial" w:hAnsi="Arial" w:cs="Arial"/>
          <w:sz w:val="22"/>
          <w:szCs w:val="22"/>
          <w:lang w:val="es-AR"/>
        </w:rPr>
        <w:t>Contribuir con el cumplimiento de los derechos de los integrantes del grupo familiar afectado.</w:t>
      </w:r>
    </w:p>
    <w:p w:rsidR="00C81A54" w:rsidRPr="00F4609C" w:rsidRDefault="00C81A54" w:rsidP="00F4609C">
      <w:pPr>
        <w:spacing w:line="360" w:lineRule="auto"/>
        <w:jc w:val="both"/>
        <w:rPr>
          <w:rFonts w:ascii="Arial" w:hAnsi="Arial" w:cs="Arial"/>
          <w:sz w:val="22"/>
          <w:szCs w:val="22"/>
          <w:lang w:val="es-AR"/>
        </w:rPr>
      </w:pPr>
    </w:p>
    <w:p w:rsidR="00C81A54" w:rsidRPr="00F4609C" w:rsidRDefault="00160DCB" w:rsidP="00160DCB">
      <w:pPr>
        <w:spacing w:line="360" w:lineRule="auto"/>
        <w:jc w:val="center"/>
        <w:rPr>
          <w:rFonts w:ascii="Arial" w:hAnsi="Arial" w:cs="Arial"/>
          <w:sz w:val="22"/>
          <w:szCs w:val="22"/>
          <w:lang w:val="es-AR"/>
        </w:rPr>
      </w:pPr>
      <w:r w:rsidRPr="00F4609C">
        <w:rPr>
          <w:rFonts w:ascii="Arial" w:hAnsi="Arial" w:cs="Arial"/>
          <w:sz w:val="22"/>
          <w:szCs w:val="22"/>
          <w:lang w:val="es-AR"/>
        </w:rPr>
        <w:t>CAPÍTULO II. NOTIFICACIÓN INMEDIATA DE MUERTES INFANTILES</w:t>
      </w:r>
    </w:p>
    <w:p w:rsidR="00C81A54" w:rsidRPr="00F4609C" w:rsidRDefault="00C81A54" w:rsidP="00F4609C">
      <w:pPr>
        <w:spacing w:line="360" w:lineRule="auto"/>
        <w:jc w:val="both"/>
        <w:rPr>
          <w:rFonts w:ascii="Arial" w:hAnsi="Arial" w:cs="Arial"/>
          <w:sz w:val="22"/>
          <w:szCs w:val="22"/>
          <w:lang w:val="es-AR"/>
        </w:rPr>
      </w:pP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 xml:space="preserve">Artículo 5º.- </w:t>
      </w:r>
      <w:r w:rsidRPr="00F4609C">
        <w:rPr>
          <w:rFonts w:ascii="Arial" w:hAnsi="Arial" w:cs="Arial"/>
          <w:i/>
          <w:sz w:val="22"/>
          <w:szCs w:val="22"/>
          <w:lang w:val="es-AR"/>
        </w:rPr>
        <w:t xml:space="preserve">Efector. Informe inmediato y remisión de información- </w:t>
      </w:r>
      <w:r w:rsidRPr="00F4609C">
        <w:rPr>
          <w:rFonts w:ascii="Arial" w:hAnsi="Arial" w:cs="Arial"/>
          <w:sz w:val="22"/>
          <w:szCs w:val="22"/>
          <w:lang w:val="es-AR"/>
        </w:rPr>
        <w:t>Todo efector del sistema de salud de la Ciudad, en cualquiera de sus subsectores en el que se produzca una muerte infantil debe notificarla a la autoridad de aplicación en el plazo de 48 horas de producida, a través del instrumento de notificación que disponga la reglamentación en el que se deberán consignar al menos los siguientes datos:</w:t>
      </w: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Número de historia clínica, causa de muerte, efector(es) interviniente(s), antecedentes prenatales, antecedentes perinatales, resumen de los antecedentes médicos de relevancia, domicilio y composición del grupo familiar.</w:t>
      </w: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Se adjuntará, además, copia fiel de la historia clínica del niño/a y de la madre si estuviera/n en su poder. De no contar con la/s historia/s clínica/s, debe consignar los datos clínicos que haya generado y toda información con la que cuente para identificar el/los efector/es que posee/n la historia clínica de/l/la niño/a o de la madre.</w:t>
      </w: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lastRenderedPageBreak/>
        <w:t>Si la muerte no se produjo en el ámbito de un efector, debe remitir la información el efector o profesional que haya tomado intervención una vez producido el deceso.</w:t>
      </w:r>
    </w:p>
    <w:p w:rsidR="00C81A54" w:rsidRPr="00F4609C" w:rsidRDefault="00C81A54" w:rsidP="00F4609C">
      <w:pPr>
        <w:spacing w:line="360" w:lineRule="auto"/>
        <w:jc w:val="both"/>
        <w:rPr>
          <w:rFonts w:ascii="Arial" w:hAnsi="Arial" w:cs="Arial"/>
          <w:sz w:val="22"/>
          <w:szCs w:val="22"/>
          <w:lang w:val="es-AR"/>
        </w:rPr>
      </w:pP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 xml:space="preserve">Artículo 6º.- </w:t>
      </w:r>
      <w:r w:rsidRPr="00F4609C">
        <w:rPr>
          <w:rFonts w:ascii="Arial" w:hAnsi="Arial" w:cs="Arial"/>
          <w:i/>
          <w:sz w:val="22"/>
          <w:szCs w:val="22"/>
          <w:lang w:val="es-AR"/>
        </w:rPr>
        <w:t xml:space="preserve">Datos personales. Consentimiento- </w:t>
      </w:r>
      <w:r w:rsidRPr="00F4609C">
        <w:rPr>
          <w:rFonts w:ascii="Arial" w:hAnsi="Arial" w:cs="Arial"/>
          <w:sz w:val="22"/>
          <w:szCs w:val="22"/>
          <w:lang w:val="es-AR"/>
        </w:rPr>
        <w:t>Se deberá resguardar los datos personales que contengan las historias clínicas y los datos clínicos remitidos a la autoridad de aplicación mediante un sistema de codificación.</w:t>
      </w: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El tratamiento de las historias clínicas y/o los datos clínicos se realizará en los términos del art. 7 inciso a) y c) de la Ley 1845 #.</w:t>
      </w: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Para el cumplimiento de lo establecido en los arts. 6º inciso b) y 8º inciso c) de la presente ley se requerirá, en su caso, el consentimiento de los titulares de las historias clínicas y/o datos recabados.</w:t>
      </w:r>
    </w:p>
    <w:p w:rsidR="00C81A54" w:rsidRPr="00F4609C" w:rsidRDefault="00C81A54" w:rsidP="00F4609C">
      <w:pPr>
        <w:spacing w:line="360" w:lineRule="auto"/>
        <w:jc w:val="both"/>
        <w:rPr>
          <w:rFonts w:ascii="Arial" w:hAnsi="Arial" w:cs="Arial"/>
          <w:sz w:val="22"/>
          <w:szCs w:val="22"/>
          <w:lang w:val="es-AR"/>
        </w:rPr>
      </w:pP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 xml:space="preserve">Artículo 7º.- </w:t>
      </w:r>
      <w:r w:rsidRPr="00F4609C">
        <w:rPr>
          <w:rFonts w:ascii="Arial" w:hAnsi="Arial" w:cs="Arial"/>
          <w:i/>
          <w:sz w:val="22"/>
          <w:szCs w:val="22"/>
          <w:lang w:val="es-AR"/>
        </w:rPr>
        <w:t>Deberes de la autoridad de aplicación</w:t>
      </w:r>
      <w:r w:rsidRPr="00F4609C">
        <w:rPr>
          <w:rFonts w:ascii="Arial" w:hAnsi="Arial" w:cs="Arial"/>
          <w:sz w:val="22"/>
          <w:szCs w:val="22"/>
          <w:lang w:val="es-AR"/>
        </w:rPr>
        <w:t>- La autoridad de aplicación debe adoptar de manera centralizada las siguientes medidas una vez notificada de la muerte infantil:</w:t>
      </w:r>
    </w:p>
    <w:p w:rsidR="00C81A54" w:rsidRPr="00160DCB" w:rsidRDefault="00C81A54" w:rsidP="00160DCB">
      <w:pPr>
        <w:pStyle w:val="Prrafodelista"/>
        <w:numPr>
          <w:ilvl w:val="0"/>
          <w:numId w:val="4"/>
        </w:numPr>
        <w:spacing w:line="360" w:lineRule="auto"/>
        <w:ind w:left="567" w:hanging="567"/>
        <w:jc w:val="both"/>
        <w:rPr>
          <w:rFonts w:ascii="Arial" w:hAnsi="Arial" w:cs="Arial"/>
          <w:sz w:val="22"/>
          <w:szCs w:val="22"/>
          <w:lang w:val="es-AR"/>
        </w:rPr>
      </w:pPr>
      <w:r w:rsidRPr="00160DCB">
        <w:rPr>
          <w:rFonts w:ascii="Arial" w:hAnsi="Arial" w:cs="Arial"/>
          <w:sz w:val="22"/>
          <w:szCs w:val="22"/>
          <w:lang w:val="es-AR"/>
        </w:rPr>
        <w:t>Disponer inmediatamente medidas sanitarias en caso de que la muerte infantil</w:t>
      </w:r>
      <w:r w:rsidR="004C71CA" w:rsidRPr="00160DCB">
        <w:rPr>
          <w:rFonts w:ascii="Arial" w:hAnsi="Arial" w:cs="Arial"/>
          <w:sz w:val="22"/>
          <w:szCs w:val="22"/>
          <w:lang w:val="es-AR"/>
        </w:rPr>
        <w:t xml:space="preserve"> </w:t>
      </w:r>
      <w:r w:rsidRPr="00160DCB">
        <w:rPr>
          <w:rFonts w:ascii="Arial" w:hAnsi="Arial" w:cs="Arial"/>
          <w:sz w:val="22"/>
          <w:szCs w:val="22"/>
          <w:lang w:val="es-AR"/>
        </w:rPr>
        <w:t>producida haya sido por causas infecciosas o por cualquier otra causa que ponga en riesgo al grupo familiar y/o sus allegados.</w:t>
      </w:r>
    </w:p>
    <w:p w:rsidR="00C81A54" w:rsidRPr="00160DCB" w:rsidRDefault="00C81A54" w:rsidP="00160DCB">
      <w:pPr>
        <w:pStyle w:val="Prrafodelista"/>
        <w:numPr>
          <w:ilvl w:val="0"/>
          <w:numId w:val="4"/>
        </w:numPr>
        <w:spacing w:line="360" w:lineRule="auto"/>
        <w:ind w:left="567" w:hanging="567"/>
        <w:jc w:val="both"/>
        <w:rPr>
          <w:rFonts w:ascii="Arial" w:hAnsi="Arial" w:cs="Arial"/>
          <w:sz w:val="22"/>
          <w:szCs w:val="22"/>
          <w:lang w:val="es-AR"/>
        </w:rPr>
      </w:pPr>
      <w:r w:rsidRPr="00160DCB">
        <w:rPr>
          <w:rFonts w:ascii="Arial" w:hAnsi="Arial" w:cs="Arial"/>
          <w:sz w:val="22"/>
          <w:szCs w:val="22"/>
          <w:lang w:val="es-AR"/>
        </w:rPr>
        <w:t>Brindar información, asesorar y arbitrar medidas pertinentes para lograr, en su caso, la inclusión de los integrantes del grupo familiar sin cobertura en programas de salud existentes acordes con sus necesidades.</w:t>
      </w:r>
    </w:p>
    <w:p w:rsidR="00C81A54" w:rsidRPr="00F4609C" w:rsidRDefault="00C81A54" w:rsidP="00F4609C">
      <w:pPr>
        <w:spacing w:line="360" w:lineRule="auto"/>
        <w:jc w:val="both"/>
        <w:rPr>
          <w:rFonts w:ascii="Arial" w:hAnsi="Arial" w:cs="Arial"/>
          <w:sz w:val="22"/>
          <w:szCs w:val="22"/>
          <w:lang w:val="es-AR"/>
        </w:rPr>
      </w:pPr>
    </w:p>
    <w:p w:rsidR="00C81A54" w:rsidRPr="00F4609C" w:rsidRDefault="00160DCB" w:rsidP="00160DCB">
      <w:pPr>
        <w:spacing w:line="360" w:lineRule="auto"/>
        <w:jc w:val="center"/>
        <w:rPr>
          <w:rFonts w:ascii="Arial" w:hAnsi="Arial" w:cs="Arial"/>
          <w:sz w:val="22"/>
          <w:szCs w:val="22"/>
          <w:lang w:val="es-AR"/>
        </w:rPr>
      </w:pPr>
      <w:r w:rsidRPr="00F4609C">
        <w:rPr>
          <w:rFonts w:ascii="Arial" w:hAnsi="Arial" w:cs="Arial"/>
          <w:sz w:val="22"/>
          <w:szCs w:val="22"/>
          <w:lang w:val="es-AR"/>
        </w:rPr>
        <w:t>CAPÍTULO III. AUDITORÍA DE MUERTES INFANTILES</w:t>
      </w:r>
    </w:p>
    <w:p w:rsidR="00C81A54" w:rsidRPr="00F4609C" w:rsidRDefault="00C81A54" w:rsidP="00F4609C">
      <w:pPr>
        <w:spacing w:line="360" w:lineRule="auto"/>
        <w:jc w:val="both"/>
        <w:rPr>
          <w:rFonts w:ascii="Arial" w:hAnsi="Arial" w:cs="Arial"/>
          <w:sz w:val="22"/>
          <w:szCs w:val="22"/>
          <w:lang w:val="es-AR"/>
        </w:rPr>
      </w:pP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 xml:space="preserve">Artículo 8º.- </w:t>
      </w:r>
      <w:r w:rsidRPr="00F4609C">
        <w:rPr>
          <w:rFonts w:ascii="Arial" w:hAnsi="Arial" w:cs="Arial"/>
          <w:i/>
          <w:sz w:val="22"/>
          <w:szCs w:val="22"/>
          <w:lang w:val="es-AR"/>
        </w:rPr>
        <w:t xml:space="preserve">Auditoría de Muertes Infantiles- </w:t>
      </w:r>
      <w:r w:rsidRPr="00F4609C">
        <w:rPr>
          <w:rFonts w:ascii="Arial" w:hAnsi="Arial" w:cs="Arial"/>
          <w:sz w:val="22"/>
          <w:szCs w:val="22"/>
          <w:lang w:val="es-AR"/>
        </w:rPr>
        <w:t>La autoridad de aplicación debe recopilar la información proveniente de los efectores de los tres subsectores y adoptar de manera centralizada las siguientes medidas en un plazo no mayor de tres meses de notificada de la muerte infantil:</w:t>
      </w:r>
    </w:p>
    <w:p w:rsidR="00C81A54" w:rsidRPr="00160DCB" w:rsidRDefault="00C81A54" w:rsidP="00160DCB">
      <w:pPr>
        <w:pStyle w:val="Prrafodelista"/>
        <w:numPr>
          <w:ilvl w:val="0"/>
          <w:numId w:val="6"/>
        </w:numPr>
        <w:spacing w:line="360" w:lineRule="auto"/>
        <w:ind w:left="567" w:hanging="567"/>
        <w:jc w:val="both"/>
        <w:rPr>
          <w:rFonts w:ascii="Arial" w:hAnsi="Arial" w:cs="Arial"/>
          <w:sz w:val="22"/>
          <w:szCs w:val="22"/>
          <w:lang w:val="es-AR"/>
        </w:rPr>
      </w:pPr>
      <w:r w:rsidRPr="00160DCB">
        <w:rPr>
          <w:rFonts w:ascii="Arial" w:hAnsi="Arial" w:cs="Arial"/>
          <w:sz w:val="22"/>
          <w:szCs w:val="22"/>
          <w:lang w:val="es-AR"/>
        </w:rPr>
        <w:t>auditar lo actuado por efectores intervinientes, adoptando todas las medidas conducentes para obtener información sobre la estructura de la causa de la muerte infantil, identificación de las concausas, identificación de factores asociados al proceso de atención y para la determinación de factores económicos, sociales, culturales, familiares y personales.</w:t>
      </w:r>
    </w:p>
    <w:p w:rsidR="00C81A54" w:rsidRPr="00160DCB" w:rsidRDefault="00C81A54" w:rsidP="00160DCB">
      <w:pPr>
        <w:pStyle w:val="Prrafodelista"/>
        <w:numPr>
          <w:ilvl w:val="0"/>
          <w:numId w:val="6"/>
        </w:numPr>
        <w:spacing w:line="360" w:lineRule="auto"/>
        <w:ind w:left="567" w:hanging="567"/>
        <w:jc w:val="both"/>
        <w:rPr>
          <w:rFonts w:ascii="Arial" w:hAnsi="Arial" w:cs="Arial"/>
          <w:sz w:val="22"/>
          <w:szCs w:val="22"/>
          <w:lang w:val="es-AR"/>
        </w:rPr>
      </w:pPr>
      <w:r w:rsidRPr="00160DCB">
        <w:rPr>
          <w:rFonts w:ascii="Arial" w:hAnsi="Arial" w:cs="Arial"/>
          <w:sz w:val="22"/>
          <w:szCs w:val="22"/>
          <w:lang w:val="es-AR"/>
        </w:rPr>
        <w:t>evaluar especialmente las condiciones de acceso al sistema de salud del grupo familiar y poblacional al que pertenece la madre y el fallecido.</w:t>
      </w: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La auditoría realizará su evaluación con un enfoque interdisciplinario e intersectorial y podrá requerir toda la información complementaria que considere pertinente a los efectores intervinientes en la muerte infantil y/o en la atención de la madre.</w:t>
      </w:r>
    </w:p>
    <w:p w:rsidR="00C81A54" w:rsidRPr="00F4609C" w:rsidRDefault="00C81A54" w:rsidP="00F4609C">
      <w:pPr>
        <w:spacing w:line="360" w:lineRule="auto"/>
        <w:jc w:val="both"/>
        <w:rPr>
          <w:rFonts w:ascii="Arial" w:hAnsi="Arial" w:cs="Arial"/>
          <w:sz w:val="22"/>
          <w:szCs w:val="22"/>
          <w:lang w:val="es-AR"/>
        </w:rPr>
      </w:pP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lastRenderedPageBreak/>
        <w:t xml:space="preserve">Artículo 9º.- </w:t>
      </w:r>
      <w:r w:rsidRPr="00F4609C">
        <w:rPr>
          <w:rFonts w:ascii="Arial" w:hAnsi="Arial" w:cs="Arial"/>
          <w:i/>
          <w:sz w:val="22"/>
          <w:szCs w:val="22"/>
          <w:lang w:val="es-AR"/>
        </w:rPr>
        <w:t xml:space="preserve">Deberes de la autoridad de aplicación- </w:t>
      </w:r>
      <w:r w:rsidRPr="00F4609C">
        <w:rPr>
          <w:rFonts w:ascii="Arial" w:hAnsi="Arial" w:cs="Arial"/>
          <w:sz w:val="22"/>
          <w:szCs w:val="22"/>
          <w:lang w:val="es-AR"/>
        </w:rPr>
        <w:t>Concluida la auditoría de la muerte infantil la autoridad de aplicación debe:</w:t>
      </w:r>
    </w:p>
    <w:p w:rsidR="00C81A54" w:rsidRPr="00160DCB" w:rsidRDefault="00C81A54" w:rsidP="00160DCB">
      <w:pPr>
        <w:pStyle w:val="Prrafodelista"/>
        <w:numPr>
          <w:ilvl w:val="0"/>
          <w:numId w:val="8"/>
        </w:numPr>
        <w:spacing w:line="360" w:lineRule="auto"/>
        <w:ind w:left="567" w:hanging="567"/>
        <w:jc w:val="both"/>
        <w:rPr>
          <w:rFonts w:ascii="Arial" w:hAnsi="Arial" w:cs="Arial"/>
          <w:sz w:val="22"/>
          <w:szCs w:val="22"/>
          <w:lang w:val="es-AR"/>
        </w:rPr>
      </w:pPr>
      <w:r w:rsidRPr="00160DCB">
        <w:rPr>
          <w:rFonts w:ascii="Arial" w:hAnsi="Arial" w:cs="Arial"/>
          <w:sz w:val="22"/>
          <w:szCs w:val="22"/>
          <w:lang w:val="es-AR"/>
        </w:rPr>
        <w:t>Adoptar medidas para revertir situaciones emergentes, asegurando la disponibilidad, accesibilidad y calidad de los servicios de salud del grupo afectado.</w:t>
      </w:r>
    </w:p>
    <w:p w:rsidR="00C81A54" w:rsidRPr="00160DCB" w:rsidRDefault="00C81A54" w:rsidP="00160DCB">
      <w:pPr>
        <w:pStyle w:val="Prrafodelista"/>
        <w:numPr>
          <w:ilvl w:val="0"/>
          <w:numId w:val="8"/>
        </w:numPr>
        <w:spacing w:line="360" w:lineRule="auto"/>
        <w:ind w:left="567" w:hanging="567"/>
        <w:jc w:val="both"/>
        <w:rPr>
          <w:rFonts w:ascii="Arial" w:hAnsi="Arial" w:cs="Arial"/>
          <w:sz w:val="22"/>
          <w:szCs w:val="22"/>
          <w:lang w:val="es-AR"/>
        </w:rPr>
      </w:pPr>
      <w:r w:rsidRPr="00160DCB">
        <w:rPr>
          <w:rFonts w:ascii="Arial" w:hAnsi="Arial" w:cs="Arial"/>
          <w:sz w:val="22"/>
          <w:szCs w:val="22"/>
          <w:lang w:val="es-AR"/>
        </w:rPr>
        <w:t>Requerir a los efectores del subsector privado y de la seguridad social intervinientes la adopción de medidas para revertir situaciones emergentes.</w:t>
      </w:r>
    </w:p>
    <w:p w:rsidR="00C81A54" w:rsidRPr="00160DCB" w:rsidRDefault="00C81A54" w:rsidP="00160DCB">
      <w:pPr>
        <w:pStyle w:val="Prrafodelista"/>
        <w:numPr>
          <w:ilvl w:val="0"/>
          <w:numId w:val="8"/>
        </w:numPr>
        <w:spacing w:line="360" w:lineRule="auto"/>
        <w:ind w:left="567" w:hanging="567"/>
        <w:jc w:val="both"/>
        <w:rPr>
          <w:rFonts w:ascii="Arial" w:hAnsi="Arial" w:cs="Arial"/>
          <w:sz w:val="22"/>
          <w:szCs w:val="22"/>
          <w:lang w:val="es-AR"/>
        </w:rPr>
      </w:pPr>
      <w:r w:rsidRPr="00160DCB">
        <w:rPr>
          <w:rFonts w:ascii="Arial" w:hAnsi="Arial" w:cs="Arial"/>
          <w:sz w:val="22"/>
          <w:szCs w:val="22"/>
          <w:lang w:val="es-AR"/>
        </w:rPr>
        <w:t xml:space="preserve">Dar intervención a otras áreas de gobierno para que procedan, en su caso, a la adopción de medidas para contribuir con el cumplimiento de los derechos de los integrantes del grupo familiar a través de su inserción en planes y programas estatales existentes, evitando la </w:t>
      </w:r>
      <w:proofErr w:type="spellStart"/>
      <w:r w:rsidRPr="00160DCB">
        <w:rPr>
          <w:rFonts w:ascii="Arial" w:hAnsi="Arial" w:cs="Arial"/>
          <w:sz w:val="22"/>
          <w:szCs w:val="22"/>
          <w:lang w:val="es-AR"/>
        </w:rPr>
        <w:t>revictimización</w:t>
      </w:r>
      <w:proofErr w:type="spellEnd"/>
      <w:r w:rsidRPr="00160DCB">
        <w:rPr>
          <w:rFonts w:ascii="Arial" w:hAnsi="Arial" w:cs="Arial"/>
          <w:sz w:val="22"/>
          <w:szCs w:val="22"/>
          <w:lang w:val="es-AR"/>
        </w:rPr>
        <w:t xml:space="preserve"> y la </w:t>
      </w:r>
      <w:proofErr w:type="spellStart"/>
      <w:r w:rsidRPr="00160DCB">
        <w:rPr>
          <w:rFonts w:ascii="Arial" w:hAnsi="Arial" w:cs="Arial"/>
          <w:sz w:val="22"/>
          <w:szCs w:val="22"/>
          <w:lang w:val="es-AR"/>
        </w:rPr>
        <w:t>responsabilización</w:t>
      </w:r>
      <w:proofErr w:type="spellEnd"/>
      <w:r w:rsidRPr="00160DCB">
        <w:rPr>
          <w:rFonts w:ascii="Arial" w:hAnsi="Arial" w:cs="Arial"/>
          <w:sz w:val="22"/>
          <w:szCs w:val="22"/>
          <w:lang w:val="es-AR"/>
        </w:rPr>
        <w:t xml:space="preserve"> individual o familiar por el suceso.</w:t>
      </w:r>
    </w:p>
    <w:p w:rsidR="00C81A54" w:rsidRPr="00F4609C" w:rsidRDefault="00C81A54" w:rsidP="00F4609C">
      <w:pPr>
        <w:spacing w:line="360" w:lineRule="auto"/>
        <w:jc w:val="both"/>
        <w:rPr>
          <w:rFonts w:ascii="Arial" w:hAnsi="Arial" w:cs="Arial"/>
          <w:sz w:val="22"/>
          <w:szCs w:val="22"/>
          <w:lang w:val="es-AR"/>
        </w:rPr>
      </w:pPr>
    </w:p>
    <w:p w:rsidR="00C81A54" w:rsidRPr="00F4609C" w:rsidRDefault="00160DCB" w:rsidP="00160DCB">
      <w:pPr>
        <w:spacing w:line="360" w:lineRule="auto"/>
        <w:jc w:val="center"/>
        <w:rPr>
          <w:rFonts w:ascii="Arial" w:hAnsi="Arial" w:cs="Arial"/>
          <w:sz w:val="22"/>
          <w:szCs w:val="22"/>
          <w:lang w:val="es-AR"/>
        </w:rPr>
      </w:pPr>
      <w:r w:rsidRPr="00F4609C">
        <w:rPr>
          <w:rFonts w:ascii="Arial" w:hAnsi="Arial" w:cs="Arial"/>
          <w:sz w:val="22"/>
          <w:szCs w:val="22"/>
          <w:lang w:val="es-AR"/>
        </w:rPr>
        <w:t>CAPÍTULO IV. REGISTRO E INFORME DE CASOS.</w:t>
      </w:r>
    </w:p>
    <w:p w:rsidR="00C81A54" w:rsidRPr="00F4609C" w:rsidRDefault="00C81A54" w:rsidP="00F4609C">
      <w:pPr>
        <w:spacing w:line="360" w:lineRule="auto"/>
        <w:jc w:val="both"/>
        <w:rPr>
          <w:rFonts w:ascii="Arial" w:hAnsi="Arial" w:cs="Arial"/>
          <w:sz w:val="22"/>
          <w:szCs w:val="22"/>
          <w:lang w:val="es-AR"/>
        </w:rPr>
      </w:pP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 xml:space="preserve">Artículo 10.- </w:t>
      </w:r>
      <w:r w:rsidRPr="00F4609C">
        <w:rPr>
          <w:rFonts w:ascii="Arial" w:hAnsi="Arial" w:cs="Arial"/>
          <w:i/>
          <w:sz w:val="22"/>
          <w:szCs w:val="22"/>
          <w:lang w:val="es-AR"/>
        </w:rPr>
        <w:t>Registro</w:t>
      </w:r>
      <w:r w:rsidRPr="00F4609C">
        <w:rPr>
          <w:rFonts w:ascii="Arial" w:hAnsi="Arial" w:cs="Arial"/>
          <w:sz w:val="22"/>
          <w:szCs w:val="22"/>
          <w:lang w:val="es-AR"/>
        </w:rPr>
        <w:t>- La autoridad de aplicación debe llevar un registro pormenorizado de los casos notificados y su seguimiento, en el que se consignará las medidas adoptadas en los términos del capítulo III y la información remitida por todos los órganos de gobierno intervinientes.</w:t>
      </w:r>
    </w:p>
    <w:p w:rsidR="00C81A54" w:rsidRPr="00F4609C" w:rsidRDefault="00C81A54" w:rsidP="00F4609C">
      <w:pPr>
        <w:spacing w:line="360" w:lineRule="auto"/>
        <w:jc w:val="both"/>
        <w:rPr>
          <w:rFonts w:ascii="Arial" w:hAnsi="Arial" w:cs="Arial"/>
          <w:sz w:val="22"/>
          <w:szCs w:val="22"/>
          <w:lang w:val="es-AR"/>
        </w:rPr>
      </w:pP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 xml:space="preserve">Artículo 11.- </w:t>
      </w:r>
      <w:r w:rsidRPr="00F4609C">
        <w:rPr>
          <w:rFonts w:ascii="Arial" w:hAnsi="Arial" w:cs="Arial"/>
          <w:i/>
          <w:sz w:val="22"/>
          <w:szCs w:val="22"/>
          <w:lang w:val="es-AR"/>
        </w:rPr>
        <w:t xml:space="preserve">Informes públicos- </w:t>
      </w:r>
      <w:r w:rsidRPr="00F4609C">
        <w:rPr>
          <w:rFonts w:ascii="Arial" w:hAnsi="Arial" w:cs="Arial"/>
          <w:sz w:val="22"/>
          <w:szCs w:val="22"/>
          <w:lang w:val="es-AR"/>
        </w:rPr>
        <w:t>La autoridad de aplicación debe elaborar un informe público trimestral en el que se consignen los eventos notificados y lo actuado en consecuencia de cada uno de acuerdo a lo estipulado en capítulos II y III.</w:t>
      </w: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Estos informes contendrán detalle de lo actuado por cada una de las áreas del gobierno intervinientes en cada caso.</w:t>
      </w: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Deberán ser presentados públicamente por los funcionarios responsables e incluidos en la página web del Gobierno de la Ciudad.</w:t>
      </w:r>
    </w:p>
    <w:p w:rsidR="00C81A54" w:rsidRPr="00F4609C" w:rsidRDefault="00C81A54" w:rsidP="00F4609C">
      <w:pPr>
        <w:spacing w:line="360" w:lineRule="auto"/>
        <w:jc w:val="both"/>
        <w:rPr>
          <w:rFonts w:ascii="Arial" w:hAnsi="Arial" w:cs="Arial"/>
          <w:sz w:val="22"/>
          <w:szCs w:val="22"/>
          <w:lang w:val="es-AR"/>
        </w:rPr>
      </w:pP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 xml:space="preserve">Artículo 12.- </w:t>
      </w:r>
      <w:r w:rsidRPr="00F4609C">
        <w:rPr>
          <w:rFonts w:ascii="Arial" w:hAnsi="Arial" w:cs="Arial"/>
          <w:i/>
          <w:sz w:val="22"/>
          <w:szCs w:val="22"/>
          <w:lang w:val="es-AR"/>
        </w:rPr>
        <w:t xml:space="preserve">Informes al Jefe de Gobierno y a la Legislatura- </w:t>
      </w:r>
      <w:r w:rsidRPr="00F4609C">
        <w:rPr>
          <w:rFonts w:ascii="Arial" w:hAnsi="Arial" w:cs="Arial"/>
          <w:sz w:val="22"/>
          <w:szCs w:val="22"/>
          <w:lang w:val="es-AR"/>
        </w:rPr>
        <w:t xml:space="preserve">La autoridad de aplicación elaborará un informe semestral que enviará al Jefe de Gobierno y a la Legislatura en el que se consignará lo actuado en virtud de la presente ley, las políticas implementadas para la disminución de la mortalidad infantil, los avances o retrocesos evidenciados en la implementación de la política y su opinión sobre problemáticas con incidencia en la cuestión de las muertes infantiles cuya resolución dependa de la intervención de otros ministerios o del cuerpo legislativo. </w:t>
      </w:r>
    </w:p>
    <w:p w:rsidR="00C81A54" w:rsidRPr="00F4609C" w:rsidRDefault="00C81A54" w:rsidP="00F4609C">
      <w:pPr>
        <w:spacing w:line="360" w:lineRule="auto"/>
        <w:jc w:val="both"/>
        <w:rPr>
          <w:rFonts w:ascii="Arial" w:hAnsi="Arial" w:cs="Arial"/>
          <w:sz w:val="22"/>
          <w:szCs w:val="22"/>
          <w:lang w:val="es-AR"/>
        </w:rPr>
      </w:pP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 xml:space="preserve">Artículo 13.- </w:t>
      </w:r>
      <w:r w:rsidRPr="00F4609C">
        <w:rPr>
          <w:rFonts w:ascii="Arial" w:hAnsi="Arial" w:cs="Arial"/>
          <w:i/>
          <w:sz w:val="22"/>
          <w:szCs w:val="22"/>
          <w:lang w:val="es-AR"/>
        </w:rPr>
        <w:t xml:space="preserve">Preservación datos personales- </w:t>
      </w:r>
      <w:r w:rsidRPr="00F4609C">
        <w:rPr>
          <w:rFonts w:ascii="Arial" w:hAnsi="Arial" w:cs="Arial"/>
          <w:sz w:val="22"/>
          <w:szCs w:val="22"/>
          <w:lang w:val="es-AR"/>
        </w:rPr>
        <w:t>El registro y publicidad establecidos en el presente capítulo se llevarán adelante con la debida preservación de los datos personales de los/as involucrados/as.</w:t>
      </w:r>
    </w:p>
    <w:p w:rsidR="00C81A54" w:rsidRPr="00F4609C" w:rsidRDefault="00C81A54" w:rsidP="00F4609C">
      <w:pPr>
        <w:spacing w:line="360" w:lineRule="auto"/>
        <w:jc w:val="both"/>
        <w:rPr>
          <w:rFonts w:ascii="Arial" w:hAnsi="Arial" w:cs="Arial"/>
          <w:sz w:val="22"/>
          <w:szCs w:val="22"/>
          <w:lang w:val="es-AR"/>
        </w:rPr>
      </w:pPr>
    </w:p>
    <w:p w:rsidR="00C81A54" w:rsidRPr="00F4609C" w:rsidRDefault="00C81A54" w:rsidP="00F4609C">
      <w:pPr>
        <w:spacing w:line="360" w:lineRule="auto"/>
        <w:jc w:val="both"/>
        <w:rPr>
          <w:rFonts w:ascii="Arial" w:hAnsi="Arial" w:cs="Arial"/>
          <w:sz w:val="22"/>
          <w:szCs w:val="22"/>
          <w:lang w:val="es-AR"/>
        </w:rPr>
      </w:pPr>
      <w:r w:rsidRPr="00F4609C">
        <w:rPr>
          <w:rFonts w:ascii="Arial" w:hAnsi="Arial" w:cs="Arial"/>
          <w:sz w:val="22"/>
          <w:szCs w:val="22"/>
          <w:lang w:val="es-AR"/>
        </w:rPr>
        <w:t>Artículo 14.- La presente Ley se reglamentará en el término de treinta (30) días de promulgada.</w:t>
      </w:r>
    </w:p>
    <w:p w:rsidR="0009329B" w:rsidRPr="00F4609C" w:rsidRDefault="0009329B" w:rsidP="00F4609C">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F4609C" w:rsidTr="00F4609C">
        <w:trPr>
          <w:jc w:val="center"/>
        </w:trPr>
        <w:tc>
          <w:tcPr>
            <w:tcW w:w="9000" w:type="dxa"/>
            <w:gridSpan w:val="2"/>
            <w:vAlign w:val="center"/>
          </w:tcPr>
          <w:p w:rsidR="0009329B" w:rsidRPr="00F4609C" w:rsidRDefault="0009329B" w:rsidP="00F4609C">
            <w:pPr>
              <w:pStyle w:val="Textosinformato"/>
              <w:spacing w:before="240" w:line="360" w:lineRule="auto"/>
              <w:jc w:val="center"/>
              <w:rPr>
                <w:rFonts w:ascii="Arial" w:hAnsi="Arial" w:cs="Arial"/>
                <w:sz w:val="22"/>
                <w:u w:val="single"/>
              </w:rPr>
            </w:pPr>
            <w:r w:rsidRPr="00F4609C">
              <w:rPr>
                <w:rFonts w:ascii="Arial" w:hAnsi="Arial" w:cs="Arial"/>
                <w:b/>
                <w:sz w:val="22"/>
                <w:szCs w:val="22"/>
              </w:rPr>
              <w:t xml:space="preserve">LEY </w:t>
            </w:r>
            <w:r w:rsidR="00C81A54" w:rsidRPr="00F4609C">
              <w:rPr>
                <w:rFonts w:ascii="Arial" w:hAnsi="Arial" w:cs="Arial"/>
                <w:b/>
                <w:sz w:val="22"/>
                <w:szCs w:val="22"/>
              </w:rPr>
              <w:t xml:space="preserve">H </w:t>
            </w:r>
            <w:r w:rsidRPr="00F4609C">
              <w:rPr>
                <w:rFonts w:ascii="Arial" w:hAnsi="Arial" w:cs="Arial"/>
                <w:b/>
                <w:sz w:val="22"/>
                <w:szCs w:val="22"/>
              </w:rPr>
              <w:t xml:space="preserve">- N° </w:t>
            </w:r>
            <w:r w:rsidR="00C81A54" w:rsidRPr="00F4609C">
              <w:rPr>
                <w:rFonts w:ascii="Arial" w:hAnsi="Arial" w:cs="Arial"/>
                <w:b/>
                <w:sz w:val="22"/>
                <w:szCs w:val="22"/>
              </w:rPr>
              <w:t>3</w:t>
            </w:r>
            <w:r w:rsidR="00160DCB">
              <w:rPr>
                <w:rFonts w:ascii="Arial" w:hAnsi="Arial" w:cs="Arial"/>
                <w:b/>
                <w:sz w:val="22"/>
                <w:szCs w:val="22"/>
              </w:rPr>
              <w:t>.</w:t>
            </w:r>
            <w:r w:rsidR="00C81A54" w:rsidRPr="00F4609C">
              <w:rPr>
                <w:rFonts w:ascii="Arial" w:hAnsi="Arial" w:cs="Arial"/>
                <w:b/>
                <w:sz w:val="22"/>
                <w:szCs w:val="22"/>
              </w:rPr>
              <w:t>968</w:t>
            </w:r>
          </w:p>
          <w:p w:rsidR="0009329B" w:rsidRPr="00F4609C" w:rsidRDefault="0009329B" w:rsidP="00F4609C">
            <w:pPr>
              <w:pStyle w:val="Textosinformato"/>
              <w:spacing w:line="360" w:lineRule="auto"/>
              <w:jc w:val="center"/>
              <w:rPr>
                <w:rFonts w:ascii="Arial" w:hAnsi="Arial" w:cs="Arial"/>
                <w:b/>
                <w:sz w:val="22"/>
                <w:u w:val="single"/>
              </w:rPr>
            </w:pPr>
            <w:r w:rsidRPr="00F4609C">
              <w:rPr>
                <w:rFonts w:ascii="Arial" w:hAnsi="Arial" w:cs="Arial"/>
                <w:b/>
                <w:sz w:val="22"/>
                <w:szCs w:val="22"/>
              </w:rPr>
              <w:t>TABLA DE ANTECEDENTES</w:t>
            </w:r>
          </w:p>
        </w:tc>
      </w:tr>
      <w:tr w:rsidR="0009329B" w:rsidRPr="00F4609C" w:rsidTr="00F4609C">
        <w:trPr>
          <w:jc w:val="center"/>
        </w:trPr>
        <w:tc>
          <w:tcPr>
            <w:tcW w:w="3780" w:type="dxa"/>
            <w:vAlign w:val="center"/>
          </w:tcPr>
          <w:p w:rsidR="0009329B" w:rsidRPr="00F4609C" w:rsidRDefault="0009329B" w:rsidP="00F4609C">
            <w:pPr>
              <w:pStyle w:val="Textosinformato"/>
              <w:spacing w:line="360" w:lineRule="auto"/>
              <w:jc w:val="center"/>
              <w:rPr>
                <w:rFonts w:ascii="Arial" w:hAnsi="Arial" w:cs="Arial"/>
                <w:b/>
                <w:sz w:val="22"/>
              </w:rPr>
            </w:pPr>
            <w:r w:rsidRPr="00F4609C">
              <w:rPr>
                <w:rFonts w:ascii="Arial" w:hAnsi="Arial" w:cs="Arial"/>
                <w:b/>
                <w:sz w:val="22"/>
                <w:szCs w:val="22"/>
              </w:rPr>
              <w:t>Artículo del Texto</w:t>
            </w:r>
          </w:p>
          <w:p w:rsidR="0009329B" w:rsidRPr="00F4609C" w:rsidRDefault="0009329B" w:rsidP="00F4609C">
            <w:pPr>
              <w:pStyle w:val="Textosinformato"/>
              <w:spacing w:line="360" w:lineRule="auto"/>
              <w:jc w:val="center"/>
              <w:rPr>
                <w:rFonts w:ascii="Arial" w:hAnsi="Arial" w:cs="Arial"/>
                <w:b/>
                <w:sz w:val="22"/>
              </w:rPr>
            </w:pPr>
            <w:r w:rsidRPr="00F4609C">
              <w:rPr>
                <w:rFonts w:ascii="Arial" w:hAnsi="Arial" w:cs="Arial"/>
                <w:b/>
                <w:sz w:val="22"/>
                <w:szCs w:val="22"/>
              </w:rPr>
              <w:t>Definitivo</w:t>
            </w:r>
          </w:p>
        </w:tc>
        <w:tc>
          <w:tcPr>
            <w:tcW w:w="5220" w:type="dxa"/>
            <w:vAlign w:val="center"/>
          </w:tcPr>
          <w:p w:rsidR="0009329B" w:rsidRPr="00F4609C" w:rsidRDefault="0009329B" w:rsidP="00F4609C">
            <w:pPr>
              <w:pStyle w:val="Textosinformato"/>
              <w:spacing w:line="360" w:lineRule="auto"/>
              <w:jc w:val="center"/>
              <w:rPr>
                <w:rFonts w:ascii="Arial" w:hAnsi="Arial" w:cs="Arial"/>
                <w:b/>
                <w:sz w:val="22"/>
              </w:rPr>
            </w:pPr>
            <w:r w:rsidRPr="00F4609C">
              <w:rPr>
                <w:rFonts w:ascii="Arial" w:hAnsi="Arial" w:cs="Arial"/>
                <w:b/>
                <w:sz w:val="22"/>
                <w:szCs w:val="22"/>
              </w:rPr>
              <w:t>Fuente</w:t>
            </w:r>
          </w:p>
        </w:tc>
      </w:tr>
      <w:tr w:rsidR="0009329B" w:rsidRPr="00F4609C" w:rsidTr="00F4609C">
        <w:trPr>
          <w:trHeight w:val="555"/>
          <w:jc w:val="center"/>
        </w:trPr>
        <w:tc>
          <w:tcPr>
            <w:tcW w:w="9000" w:type="dxa"/>
            <w:gridSpan w:val="2"/>
            <w:vAlign w:val="center"/>
          </w:tcPr>
          <w:p w:rsidR="0009329B" w:rsidRPr="00F4609C" w:rsidRDefault="0009329B" w:rsidP="00F4609C">
            <w:pPr>
              <w:pStyle w:val="Textosinformato"/>
              <w:spacing w:line="360" w:lineRule="auto"/>
              <w:jc w:val="center"/>
              <w:rPr>
                <w:rFonts w:ascii="Arial" w:hAnsi="Arial" w:cs="Arial"/>
                <w:sz w:val="22"/>
              </w:rPr>
            </w:pPr>
            <w:r w:rsidRPr="00F4609C">
              <w:rPr>
                <w:rFonts w:ascii="Arial" w:hAnsi="Arial" w:cs="Arial"/>
                <w:sz w:val="22"/>
                <w:szCs w:val="22"/>
              </w:rPr>
              <w:t>Todos los artículos de este texto definitivo provienen del texto original de la Ley</w:t>
            </w:r>
            <w:r w:rsidR="003F1762" w:rsidRPr="00F4609C">
              <w:rPr>
                <w:rFonts w:ascii="Arial" w:hAnsi="Arial" w:cs="Arial"/>
                <w:sz w:val="22"/>
                <w:szCs w:val="22"/>
              </w:rPr>
              <w:t xml:space="preserve"> </w:t>
            </w:r>
            <w:r w:rsidR="004C71CA" w:rsidRPr="00F4609C">
              <w:rPr>
                <w:rFonts w:ascii="Arial" w:hAnsi="Arial" w:cs="Arial"/>
                <w:sz w:val="22"/>
                <w:szCs w:val="22"/>
              </w:rPr>
              <w:t>N° 3</w:t>
            </w:r>
            <w:r w:rsidR="00160DCB">
              <w:rPr>
                <w:rFonts w:ascii="Arial" w:hAnsi="Arial" w:cs="Arial"/>
                <w:sz w:val="22"/>
                <w:szCs w:val="22"/>
              </w:rPr>
              <w:t>.</w:t>
            </w:r>
            <w:r w:rsidR="004C71CA" w:rsidRPr="00F4609C">
              <w:rPr>
                <w:rFonts w:ascii="Arial" w:hAnsi="Arial" w:cs="Arial"/>
                <w:sz w:val="22"/>
                <w:szCs w:val="22"/>
              </w:rPr>
              <w:t>968</w:t>
            </w:r>
            <w:r w:rsidRPr="00F4609C">
              <w:rPr>
                <w:rFonts w:ascii="Arial" w:hAnsi="Arial" w:cs="Arial"/>
                <w:sz w:val="22"/>
                <w:szCs w:val="22"/>
              </w:rPr>
              <w:t>.</w:t>
            </w:r>
          </w:p>
        </w:tc>
      </w:tr>
    </w:tbl>
    <w:p w:rsidR="0009329B" w:rsidRPr="00F4609C" w:rsidRDefault="0009329B" w:rsidP="00F4609C">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F4609C" w:rsidTr="00F4609C">
        <w:trPr>
          <w:jc w:val="center"/>
        </w:trPr>
        <w:tc>
          <w:tcPr>
            <w:tcW w:w="9180" w:type="dxa"/>
            <w:gridSpan w:val="3"/>
            <w:vAlign w:val="center"/>
          </w:tcPr>
          <w:p w:rsidR="0009329B" w:rsidRPr="00F4609C" w:rsidRDefault="0009329B" w:rsidP="00F4609C">
            <w:pPr>
              <w:pStyle w:val="Textosinformato"/>
              <w:spacing w:before="240" w:line="360" w:lineRule="auto"/>
              <w:jc w:val="center"/>
              <w:rPr>
                <w:rFonts w:ascii="Arial" w:hAnsi="Arial" w:cs="Arial"/>
                <w:b/>
                <w:sz w:val="22"/>
              </w:rPr>
            </w:pPr>
            <w:r w:rsidRPr="00F4609C">
              <w:rPr>
                <w:rFonts w:ascii="Arial" w:hAnsi="Arial" w:cs="Arial"/>
                <w:b/>
                <w:sz w:val="22"/>
                <w:szCs w:val="22"/>
              </w:rPr>
              <w:t xml:space="preserve">LEY </w:t>
            </w:r>
            <w:r w:rsidR="004C71CA" w:rsidRPr="00F4609C">
              <w:rPr>
                <w:rFonts w:ascii="Arial" w:hAnsi="Arial" w:cs="Arial"/>
                <w:b/>
                <w:sz w:val="22"/>
                <w:szCs w:val="22"/>
              </w:rPr>
              <w:t>H</w:t>
            </w:r>
            <w:r w:rsidR="003F1762" w:rsidRPr="00F4609C">
              <w:rPr>
                <w:rFonts w:ascii="Arial" w:hAnsi="Arial" w:cs="Arial"/>
                <w:b/>
                <w:sz w:val="22"/>
                <w:szCs w:val="22"/>
              </w:rPr>
              <w:t xml:space="preserve"> </w:t>
            </w:r>
            <w:r w:rsidRPr="00F4609C">
              <w:rPr>
                <w:rFonts w:ascii="Arial" w:hAnsi="Arial" w:cs="Arial"/>
                <w:b/>
                <w:sz w:val="22"/>
                <w:szCs w:val="22"/>
              </w:rPr>
              <w:t xml:space="preserve">- N° </w:t>
            </w:r>
            <w:r w:rsidR="004C71CA" w:rsidRPr="00F4609C">
              <w:rPr>
                <w:rFonts w:ascii="Arial" w:hAnsi="Arial" w:cs="Arial"/>
                <w:b/>
                <w:sz w:val="22"/>
                <w:szCs w:val="22"/>
              </w:rPr>
              <w:t>3</w:t>
            </w:r>
            <w:r w:rsidR="00160DCB">
              <w:rPr>
                <w:rFonts w:ascii="Arial" w:hAnsi="Arial" w:cs="Arial"/>
                <w:b/>
                <w:sz w:val="22"/>
                <w:szCs w:val="22"/>
              </w:rPr>
              <w:t>.</w:t>
            </w:r>
            <w:r w:rsidR="004C71CA" w:rsidRPr="00F4609C">
              <w:rPr>
                <w:rFonts w:ascii="Arial" w:hAnsi="Arial" w:cs="Arial"/>
                <w:b/>
                <w:sz w:val="22"/>
                <w:szCs w:val="22"/>
              </w:rPr>
              <w:t>968</w:t>
            </w:r>
          </w:p>
          <w:p w:rsidR="0009329B" w:rsidRPr="00F4609C" w:rsidRDefault="0009329B" w:rsidP="00F4609C">
            <w:pPr>
              <w:pStyle w:val="Textosinformato"/>
              <w:spacing w:line="360" w:lineRule="auto"/>
              <w:jc w:val="center"/>
              <w:rPr>
                <w:rFonts w:ascii="Arial" w:hAnsi="Arial" w:cs="Arial"/>
                <w:sz w:val="22"/>
              </w:rPr>
            </w:pPr>
            <w:r w:rsidRPr="00F4609C">
              <w:rPr>
                <w:rFonts w:ascii="Arial" w:hAnsi="Arial" w:cs="Arial"/>
                <w:b/>
                <w:sz w:val="22"/>
                <w:szCs w:val="22"/>
              </w:rPr>
              <w:t>TABLA DE EQUIVALENCIAS</w:t>
            </w:r>
          </w:p>
        </w:tc>
      </w:tr>
      <w:tr w:rsidR="0009329B" w:rsidRPr="00F4609C" w:rsidTr="00F4609C">
        <w:trPr>
          <w:jc w:val="center"/>
        </w:trPr>
        <w:tc>
          <w:tcPr>
            <w:tcW w:w="3090" w:type="dxa"/>
            <w:vAlign w:val="center"/>
          </w:tcPr>
          <w:p w:rsidR="0009329B" w:rsidRPr="00F4609C" w:rsidRDefault="0009329B" w:rsidP="00F4609C">
            <w:pPr>
              <w:spacing w:line="360" w:lineRule="auto"/>
              <w:jc w:val="center"/>
              <w:rPr>
                <w:rFonts w:ascii="Arial" w:hAnsi="Arial" w:cs="Arial"/>
                <w:b/>
              </w:rPr>
            </w:pPr>
            <w:r w:rsidRPr="00F4609C">
              <w:rPr>
                <w:rFonts w:ascii="Arial" w:hAnsi="Arial" w:cs="Arial"/>
                <w:b/>
                <w:sz w:val="22"/>
                <w:szCs w:val="22"/>
              </w:rPr>
              <w:t>Número de artículo</w:t>
            </w:r>
          </w:p>
          <w:p w:rsidR="0009329B" w:rsidRPr="00F4609C" w:rsidRDefault="0009329B" w:rsidP="00F4609C">
            <w:pPr>
              <w:spacing w:line="360" w:lineRule="auto"/>
              <w:jc w:val="center"/>
              <w:rPr>
                <w:rFonts w:ascii="Arial" w:hAnsi="Arial" w:cs="Arial"/>
                <w:b/>
              </w:rPr>
            </w:pPr>
            <w:r w:rsidRPr="00F4609C">
              <w:rPr>
                <w:rFonts w:ascii="Arial" w:hAnsi="Arial" w:cs="Arial"/>
                <w:b/>
                <w:sz w:val="22"/>
                <w:szCs w:val="22"/>
              </w:rPr>
              <w:t>del Texto Definitivo</w:t>
            </w:r>
          </w:p>
        </w:tc>
        <w:tc>
          <w:tcPr>
            <w:tcW w:w="2850" w:type="dxa"/>
            <w:vAlign w:val="center"/>
          </w:tcPr>
          <w:p w:rsidR="0009329B" w:rsidRPr="00F4609C" w:rsidRDefault="0009329B" w:rsidP="00F4609C">
            <w:pPr>
              <w:spacing w:line="360" w:lineRule="auto"/>
              <w:jc w:val="center"/>
              <w:rPr>
                <w:rFonts w:ascii="Arial" w:hAnsi="Arial" w:cs="Arial"/>
                <w:b/>
              </w:rPr>
            </w:pPr>
            <w:r w:rsidRPr="00F4609C">
              <w:rPr>
                <w:rFonts w:ascii="Arial" w:hAnsi="Arial" w:cs="Arial"/>
                <w:b/>
                <w:sz w:val="22"/>
                <w:szCs w:val="22"/>
              </w:rPr>
              <w:t>Número de artículo</w:t>
            </w:r>
          </w:p>
          <w:p w:rsidR="0009329B" w:rsidRPr="00F4609C" w:rsidRDefault="0009329B" w:rsidP="00F4609C">
            <w:pPr>
              <w:spacing w:line="360" w:lineRule="auto"/>
              <w:jc w:val="center"/>
              <w:rPr>
                <w:rFonts w:ascii="Arial" w:hAnsi="Arial" w:cs="Arial"/>
                <w:b/>
              </w:rPr>
            </w:pPr>
            <w:r w:rsidRPr="00F4609C">
              <w:rPr>
                <w:rFonts w:ascii="Arial" w:hAnsi="Arial" w:cs="Arial"/>
                <w:b/>
                <w:sz w:val="22"/>
                <w:szCs w:val="22"/>
              </w:rPr>
              <w:t>del Texto de Referencia (Ley</w:t>
            </w:r>
            <w:r w:rsidR="00160DCB">
              <w:rPr>
                <w:rFonts w:ascii="Arial" w:hAnsi="Arial" w:cs="Arial"/>
                <w:b/>
                <w:sz w:val="22"/>
                <w:szCs w:val="22"/>
              </w:rPr>
              <w:t xml:space="preserve"> </w:t>
            </w:r>
            <w:r w:rsidR="004C71CA" w:rsidRPr="00F4609C">
              <w:rPr>
                <w:rFonts w:ascii="Arial" w:hAnsi="Arial" w:cs="Arial"/>
                <w:b/>
                <w:sz w:val="22"/>
                <w:szCs w:val="22"/>
              </w:rPr>
              <w:t>3</w:t>
            </w:r>
            <w:r w:rsidR="00160DCB">
              <w:rPr>
                <w:rFonts w:ascii="Arial" w:hAnsi="Arial" w:cs="Arial"/>
                <w:b/>
                <w:sz w:val="22"/>
                <w:szCs w:val="22"/>
              </w:rPr>
              <w:t>.</w:t>
            </w:r>
            <w:r w:rsidR="004C71CA" w:rsidRPr="00F4609C">
              <w:rPr>
                <w:rFonts w:ascii="Arial" w:hAnsi="Arial" w:cs="Arial"/>
                <w:b/>
                <w:sz w:val="22"/>
                <w:szCs w:val="22"/>
              </w:rPr>
              <w:t>968</w:t>
            </w:r>
            <w:r w:rsidRPr="00F4609C">
              <w:rPr>
                <w:rFonts w:ascii="Arial" w:hAnsi="Arial" w:cs="Arial"/>
                <w:b/>
                <w:sz w:val="22"/>
                <w:szCs w:val="22"/>
              </w:rPr>
              <w:t>)</w:t>
            </w:r>
          </w:p>
        </w:tc>
        <w:tc>
          <w:tcPr>
            <w:tcW w:w="3240" w:type="dxa"/>
            <w:vAlign w:val="center"/>
          </w:tcPr>
          <w:p w:rsidR="0009329B" w:rsidRPr="00F4609C" w:rsidRDefault="0009329B" w:rsidP="00F4609C">
            <w:pPr>
              <w:spacing w:line="360" w:lineRule="auto"/>
              <w:jc w:val="center"/>
              <w:rPr>
                <w:rFonts w:ascii="Arial" w:hAnsi="Arial" w:cs="Arial"/>
                <w:b/>
              </w:rPr>
            </w:pPr>
            <w:r w:rsidRPr="00F4609C">
              <w:rPr>
                <w:rFonts w:ascii="Arial" w:hAnsi="Arial" w:cs="Arial"/>
                <w:b/>
                <w:sz w:val="22"/>
                <w:szCs w:val="22"/>
              </w:rPr>
              <w:t>Observaciones</w:t>
            </w:r>
          </w:p>
        </w:tc>
      </w:tr>
      <w:tr w:rsidR="0009329B" w:rsidRPr="00F4609C" w:rsidTr="00F4609C">
        <w:trPr>
          <w:jc w:val="center"/>
        </w:trPr>
        <w:tc>
          <w:tcPr>
            <w:tcW w:w="9180" w:type="dxa"/>
            <w:gridSpan w:val="3"/>
            <w:vAlign w:val="center"/>
          </w:tcPr>
          <w:p w:rsidR="0009329B" w:rsidRPr="00F4609C" w:rsidRDefault="0009329B" w:rsidP="00F4609C">
            <w:pPr>
              <w:spacing w:line="360" w:lineRule="auto"/>
              <w:jc w:val="center"/>
              <w:rPr>
                <w:rFonts w:ascii="Arial" w:hAnsi="Arial" w:cs="Arial"/>
              </w:rPr>
            </w:pPr>
            <w:r w:rsidRPr="00F4609C">
              <w:rPr>
                <w:rFonts w:ascii="Arial" w:hAnsi="Arial" w:cs="Arial"/>
                <w:sz w:val="22"/>
                <w:szCs w:val="22"/>
              </w:rPr>
              <w:t>La numeración de los artículos del Texto Definitivo corresponde a la numeración original de la Ley</w:t>
            </w:r>
            <w:r w:rsidR="003F1762" w:rsidRPr="00F4609C">
              <w:rPr>
                <w:rFonts w:ascii="Arial" w:hAnsi="Arial" w:cs="Arial"/>
                <w:sz w:val="22"/>
                <w:szCs w:val="22"/>
              </w:rPr>
              <w:t xml:space="preserve">  </w:t>
            </w:r>
            <w:r w:rsidR="004C71CA" w:rsidRPr="00F4609C">
              <w:rPr>
                <w:rFonts w:ascii="Arial" w:hAnsi="Arial" w:cs="Arial"/>
                <w:sz w:val="22"/>
                <w:szCs w:val="22"/>
              </w:rPr>
              <w:t>N°</w:t>
            </w:r>
            <w:r w:rsidR="00160DCB">
              <w:rPr>
                <w:rFonts w:ascii="Arial" w:hAnsi="Arial" w:cs="Arial"/>
                <w:sz w:val="22"/>
                <w:szCs w:val="22"/>
              </w:rPr>
              <w:t xml:space="preserve"> </w:t>
            </w:r>
            <w:r w:rsidR="004C71CA" w:rsidRPr="00F4609C">
              <w:rPr>
                <w:rFonts w:ascii="Arial" w:hAnsi="Arial" w:cs="Arial"/>
                <w:sz w:val="22"/>
                <w:szCs w:val="22"/>
              </w:rPr>
              <w:t>3</w:t>
            </w:r>
            <w:r w:rsidR="00160DCB">
              <w:rPr>
                <w:rFonts w:ascii="Arial" w:hAnsi="Arial" w:cs="Arial"/>
                <w:sz w:val="22"/>
                <w:szCs w:val="22"/>
              </w:rPr>
              <w:t>.</w:t>
            </w:r>
            <w:r w:rsidR="004C71CA" w:rsidRPr="00F4609C">
              <w:rPr>
                <w:rFonts w:ascii="Arial" w:hAnsi="Arial" w:cs="Arial"/>
                <w:sz w:val="22"/>
                <w:szCs w:val="22"/>
              </w:rPr>
              <w:t>968.</w:t>
            </w:r>
          </w:p>
        </w:tc>
      </w:tr>
    </w:tbl>
    <w:p w:rsidR="00356505" w:rsidRPr="00F4609C" w:rsidRDefault="00356505" w:rsidP="00F4609C">
      <w:pPr>
        <w:spacing w:line="360" w:lineRule="auto"/>
        <w:rPr>
          <w:rFonts w:ascii="Arial" w:hAnsi="Arial" w:cs="Arial"/>
          <w:b/>
          <w:sz w:val="22"/>
          <w:szCs w:val="22"/>
          <w:u w:val="single"/>
        </w:rPr>
      </w:pPr>
    </w:p>
    <w:p w:rsidR="004C71CA" w:rsidRPr="00F4609C" w:rsidRDefault="00F914CB" w:rsidP="00F4609C">
      <w:pPr>
        <w:spacing w:line="360" w:lineRule="auto"/>
        <w:rPr>
          <w:rFonts w:ascii="Arial" w:hAnsi="Arial" w:cs="Arial"/>
          <w:b/>
          <w:sz w:val="22"/>
          <w:szCs w:val="22"/>
          <w:u w:val="single"/>
        </w:rPr>
      </w:pPr>
      <w:r w:rsidRPr="00F4609C">
        <w:rPr>
          <w:rFonts w:ascii="Arial" w:hAnsi="Arial" w:cs="Arial"/>
          <w:b/>
          <w:sz w:val="22"/>
          <w:szCs w:val="22"/>
          <w:u w:val="single"/>
        </w:rPr>
        <w:t>Observaciones Generales:</w:t>
      </w:r>
      <w:bookmarkStart w:id="0" w:name="_GoBack"/>
      <w:bookmarkEnd w:id="0"/>
    </w:p>
    <w:p w:rsidR="004C71CA" w:rsidRPr="00F4609C" w:rsidRDefault="004C71CA" w:rsidP="00F4609C">
      <w:pPr>
        <w:spacing w:line="360" w:lineRule="auto"/>
        <w:rPr>
          <w:rFonts w:ascii="Arial" w:hAnsi="Arial" w:cs="Arial"/>
          <w:sz w:val="22"/>
          <w:szCs w:val="22"/>
        </w:rPr>
      </w:pPr>
      <w:r w:rsidRPr="00F4609C">
        <w:rPr>
          <w:rFonts w:ascii="Arial" w:hAnsi="Arial" w:cs="Arial"/>
          <w:sz w:val="22"/>
          <w:szCs w:val="22"/>
        </w:rPr>
        <w:t># La presente Norma contiene remisiones externas #</w:t>
      </w:r>
    </w:p>
    <w:p w:rsidR="004C71CA" w:rsidRPr="00F4609C" w:rsidRDefault="004C71CA" w:rsidP="00F4609C">
      <w:pPr>
        <w:spacing w:line="360" w:lineRule="auto"/>
        <w:rPr>
          <w:rFonts w:ascii="Arial" w:hAnsi="Arial" w:cs="Arial"/>
          <w:b/>
          <w:sz w:val="22"/>
          <w:szCs w:val="22"/>
          <w:u w:val="single"/>
        </w:rPr>
      </w:pPr>
    </w:p>
    <w:p w:rsidR="0009329B" w:rsidRPr="00F4609C" w:rsidRDefault="0009329B" w:rsidP="00F4609C">
      <w:pPr>
        <w:spacing w:line="360" w:lineRule="auto"/>
        <w:rPr>
          <w:rFonts w:ascii="Arial" w:hAnsi="Arial" w:cs="Arial"/>
          <w:sz w:val="22"/>
          <w:szCs w:val="22"/>
        </w:rPr>
      </w:pPr>
    </w:p>
    <w:sectPr w:rsidR="0009329B" w:rsidRPr="00F4609C" w:rsidSect="00F4609C">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26D9B"/>
    <w:multiLevelType w:val="hybridMultilevel"/>
    <w:tmpl w:val="2FE602E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750137F"/>
    <w:multiLevelType w:val="hybridMultilevel"/>
    <w:tmpl w:val="4C8E346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30BF4E8D"/>
    <w:multiLevelType w:val="hybridMultilevel"/>
    <w:tmpl w:val="711A96F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48761779"/>
    <w:multiLevelType w:val="hybridMultilevel"/>
    <w:tmpl w:val="A4CEE99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51DD4C5A"/>
    <w:multiLevelType w:val="hybridMultilevel"/>
    <w:tmpl w:val="D4FC7AE8"/>
    <w:lvl w:ilvl="0" w:tplc="85E4EE62">
      <w:start w:val="1"/>
      <w:numFmt w:val="lowerLetter"/>
      <w:lvlText w:val="%1)"/>
      <w:lvlJc w:val="left"/>
      <w:pPr>
        <w:ind w:left="765" w:hanging="4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6CB65256"/>
    <w:multiLevelType w:val="hybridMultilevel"/>
    <w:tmpl w:val="1900915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7A5843F4"/>
    <w:multiLevelType w:val="hybridMultilevel"/>
    <w:tmpl w:val="475AC5A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7C87260F"/>
    <w:multiLevelType w:val="hybridMultilevel"/>
    <w:tmpl w:val="7B32A24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3"/>
  </w:num>
  <w:num w:numId="5">
    <w:abstractNumId w:val="2"/>
  </w:num>
  <w:num w:numId="6">
    <w:abstractNumId w:val="5"/>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9329B"/>
    <w:rsid w:val="000C4AFC"/>
    <w:rsid w:val="000D2BAC"/>
    <w:rsid w:val="00160DCB"/>
    <w:rsid w:val="00253543"/>
    <w:rsid w:val="002D2DC8"/>
    <w:rsid w:val="00356505"/>
    <w:rsid w:val="003F1762"/>
    <w:rsid w:val="004A7641"/>
    <w:rsid w:val="004C71CA"/>
    <w:rsid w:val="005A4669"/>
    <w:rsid w:val="006506AC"/>
    <w:rsid w:val="006F6B15"/>
    <w:rsid w:val="008513DA"/>
    <w:rsid w:val="008E3EF3"/>
    <w:rsid w:val="00C67C06"/>
    <w:rsid w:val="00C81A54"/>
    <w:rsid w:val="00C8756B"/>
    <w:rsid w:val="00F0043C"/>
    <w:rsid w:val="00F4609C"/>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160D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1126</Words>
  <Characters>6198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2014-08-22T15:38:00Z</dcterms:created>
  <dcterms:modified xsi:type="dcterms:W3CDTF">2015-10-06T19:31:00Z</dcterms:modified>
</cp:coreProperties>
</file>