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Pr="0002452E" w:rsidRDefault="00511DA5" w:rsidP="0002452E">
      <w:pPr>
        <w:spacing w:line="360" w:lineRule="auto"/>
        <w:rPr>
          <w:rFonts w:ascii="Arial" w:hAnsi="Arial" w:cs="Arial"/>
          <w:b/>
          <w:sz w:val="22"/>
          <w:szCs w:val="22"/>
        </w:rPr>
      </w:pPr>
      <w:r w:rsidRPr="0002452E">
        <w:rPr>
          <w:rFonts w:ascii="Arial" w:hAnsi="Arial" w:cs="Arial"/>
          <w:b/>
          <w:sz w:val="22"/>
          <w:szCs w:val="22"/>
        </w:rPr>
        <w:t>LC-3911</w:t>
      </w:r>
    </w:p>
    <w:p w:rsidR="0002452E" w:rsidRDefault="0002452E" w:rsidP="0002452E">
      <w:pPr>
        <w:spacing w:line="360" w:lineRule="auto"/>
        <w:jc w:val="center"/>
        <w:rPr>
          <w:rFonts w:ascii="Arial" w:hAnsi="Arial" w:cs="Arial"/>
          <w:b/>
          <w:sz w:val="22"/>
          <w:szCs w:val="22"/>
        </w:rPr>
      </w:pPr>
    </w:p>
    <w:p w:rsidR="0002452E" w:rsidRPr="0002452E" w:rsidRDefault="005C1BD5" w:rsidP="0002452E">
      <w:pPr>
        <w:spacing w:line="360" w:lineRule="auto"/>
        <w:jc w:val="center"/>
        <w:rPr>
          <w:rFonts w:ascii="Arial" w:hAnsi="Arial" w:cs="Arial"/>
          <w:b/>
          <w:sz w:val="22"/>
          <w:szCs w:val="22"/>
        </w:rPr>
      </w:pPr>
      <w:r w:rsidRPr="005C1BD5">
        <w:rPr>
          <w:rFonts w:ascii="Arial" w:hAnsi="Arial" w:cs="Arial"/>
          <w:b/>
          <w:sz w:val="22"/>
          <w:szCs w:val="22"/>
        </w:rPr>
        <w:t>LEY G - N° 3</w:t>
      </w:r>
      <w:r>
        <w:rPr>
          <w:rFonts w:ascii="Arial" w:hAnsi="Arial" w:cs="Arial"/>
          <w:b/>
          <w:sz w:val="22"/>
          <w:szCs w:val="22"/>
        </w:rPr>
        <w:t>.</w:t>
      </w:r>
      <w:r w:rsidRPr="005C1BD5">
        <w:rPr>
          <w:rFonts w:ascii="Arial" w:hAnsi="Arial" w:cs="Arial"/>
          <w:b/>
          <w:sz w:val="22"/>
          <w:szCs w:val="22"/>
        </w:rPr>
        <w:t>911</w:t>
      </w:r>
    </w:p>
    <w:p w:rsidR="0002452E" w:rsidRDefault="0002452E" w:rsidP="0002452E">
      <w:pPr>
        <w:spacing w:line="360" w:lineRule="auto"/>
        <w:jc w:val="both"/>
        <w:rPr>
          <w:rFonts w:ascii="Arial" w:hAnsi="Arial" w:cs="Arial"/>
          <w:sz w:val="22"/>
          <w:szCs w:val="22"/>
          <w:lang w:val="es-AR"/>
        </w:rPr>
      </w:pPr>
    </w:p>
    <w:p w:rsidR="00511DA5" w:rsidRPr="0002452E" w:rsidRDefault="00511DA5" w:rsidP="0002452E">
      <w:pPr>
        <w:spacing w:line="360" w:lineRule="auto"/>
        <w:jc w:val="both"/>
        <w:rPr>
          <w:rFonts w:ascii="Arial" w:hAnsi="Arial" w:cs="Arial"/>
          <w:sz w:val="22"/>
          <w:szCs w:val="22"/>
          <w:lang w:val="es-AR"/>
        </w:rPr>
      </w:pPr>
      <w:r w:rsidRPr="0002452E">
        <w:rPr>
          <w:rFonts w:ascii="Arial" w:hAnsi="Arial" w:cs="Arial"/>
          <w:sz w:val="22"/>
          <w:szCs w:val="22"/>
          <w:lang w:val="es-AR"/>
        </w:rPr>
        <w:t>Artículo 1º</w:t>
      </w:r>
      <w:r w:rsidRPr="0002452E">
        <w:rPr>
          <w:rFonts w:ascii="Arial" w:hAnsi="Arial" w:cs="Arial"/>
          <w:i/>
          <w:sz w:val="22"/>
          <w:szCs w:val="22"/>
          <w:lang w:val="es-AR"/>
        </w:rPr>
        <w:t>-Objeto-</w:t>
      </w:r>
      <w:r w:rsidRPr="0002452E">
        <w:rPr>
          <w:rFonts w:ascii="Arial" w:hAnsi="Arial" w:cs="Arial"/>
          <w:sz w:val="22"/>
          <w:szCs w:val="22"/>
          <w:lang w:val="es-AR"/>
        </w:rPr>
        <w:t xml:space="preserve"> La presente Ley tiene por objeto crear un mecanismo para la gestión del Material Bibliográfico y Documental en desuso de las Bibliotecas dependientes del Gobierno de la Ciudad Autónoma de Buenos Aires.</w:t>
      </w:r>
    </w:p>
    <w:p w:rsidR="00265142" w:rsidRPr="0002452E" w:rsidRDefault="00265142" w:rsidP="0002452E">
      <w:pPr>
        <w:spacing w:line="360" w:lineRule="auto"/>
        <w:jc w:val="both"/>
        <w:rPr>
          <w:rFonts w:ascii="Arial" w:hAnsi="Arial" w:cs="Arial"/>
          <w:sz w:val="22"/>
          <w:szCs w:val="22"/>
          <w:lang w:val="es-AR"/>
        </w:rPr>
      </w:pPr>
    </w:p>
    <w:p w:rsidR="00511DA5" w:rsidRPr="0002452E" w:rsidRDefault="00511DA5" w:rsidP="0002452E">
      <w:pPr>
        <w:spacing w:line="360" w:lineRule="auto"/>
        <w:jc w:val="both"/>
        <w:rPr>
          <w:rFonts w:ascii="Arial" w:hAnsi="Arial" w:cs="Arial"/>
          <w:sz w:val="22"/>
          <w:szCs w:val="22"/>
          <w:lang w:val="es-AR"/>
        </w:rPr>
      </w:pPr>
      <w:r w:rsidRPr="0002452E">
        <w:rPr>
          <w:rFonts w:ascii="Arial" w:hAnsi="Arial" w:cs="Arial"/>
          <w:sz w:val="22"/>
          <w:szCs w:val="22"/>
          <w:lang w:val="es-AR"/>
        </w:rPr>
        <w:t>Artículo 2º</w:t>
      </w:r>
      <w:r w:rsidRPr="0002452E">
        <w:rPr>
          <w:rFonts w:ascii="Arial" w:hAnsi="Arial" w:cs="Arial"/>
          <w:i/>
          <w:sz w:val="22"/>
          <w:szCs w:val="22"/>
          <w:lang w:val="es-AR"/>
        </w:rPr>
        <w:t>-Excepción-</w:t>
      </w:r>
      <w:r w:rsidRPr="0002452E">
        <w:rPr>
          <w:rFonts w:ascii="Arial" w:hAnsi="Arial" w:cs="Arial"/>
          <w:sz w:val="22"/>
          <w:szCs w:val="22"/>
          <w:lang w:val="es-AR"/>
        </w:rPr>
        <w:t>Exceptúase del mecanismo de gestión establecido por la presente Ley, el material bibliográfico tesoro y de valor histórico – patrimonial, entendiéndose por tal, al que por su antigüedad, exclusividad, características internas o externas especiales o su valor económico, constituyan documentos de valor para el patrimonio cultural de la Ciudad de Buenos Aires, en los términos del Art. 4º inc. i) y h) de la Ley 1.227 #.</w:t>
      </w:r>
    </w:p>
    <w:p w:rsidR="00265142" w:rsidRPr="0002452E" w:rsidRDefault="00265142" w:rsidP="0002452E">
      <w:pPr>
        <w:spacing w:line="360" w:lineRule="auto"/>
        <w:jc w:val="both"/>
        <w:rPr>
          <w:rFonts w:ascii="Arial" w:hAnsi="Arial" w:cs="Arial"/>
          <w:sz w:val="22"/>
          <w:szCs w:val="22"/>
          <w:lang w:val="es-AR"/>
        </w:rPr>
      </w:pPr>
    </w:p>
    <w:p w:rsidR="00511DA5" w:rsidRPr="0002452E" w:rsidRDefault="00511DA5" w:rsidP="0002452E">
      <w:pPr>
        <w:spacing w:line="360" w:lineRule="auto"/>
        <w:jc w:val="both"/>
        <w:rPr>
          <w:rFonts w:ascii="Arial" w:hAnsi="Arial" w:cs="Arial"/>
          <w:sz w:val="22"/>
          <w:szCs w:val="22"/>
          <w:lang w:val="es-AR"/>
        </w:rPr>
      </w:pPr>
      <w:r w:rsidRPr="0002452E">
        <w:rPr>
          <w:rFonts w:ascii="Arial" w:hAnsi="Arial" w:cs="Arial"/>
          <w:sz w:val="22"/>
          <w:szCs w:val="22"/>
          <w:lang w:val="es-AR"/>
        </w:rPr>
        <w:t>Artículo 3º</w:t>
      </w:r>
      <w:r w:rsidRPr="0002452E">
        <w:rPr>
          <w:rFonts w:ascii="Arial" w:hAnsi="Arial" w:cs="Arial"/>
          <w:i/>
          <w:sz w:val="22"/>
          <w:szCs w:val="22"/>
          <w:lang w:val="es-AR"/>
        </w:rPr>
        <w:t>-Comisión Clasificadora-</w:t>
      </w:r>
      <w:r w:rsidRPr="0002452E">
        <w:rPr>
          <w:rFonts w:ascii="Arial" w:hAnsi="Arial" w:cs="Arial"/>
          <w:sz w:val="22"/>
          <w:szCs w:val="22"/>
          <w:lang w:val="es-AR"/>
        </w:rPr>
        <w:t xml:space="preserve"> Créase la Comisión Clasificadora de Material</w:t>
      </w:r>
    </w:p>
    <w:p w:rsidR="00511DA5" w:rsidRPr="0002452E" w:rsidRDefault="00511DA5" w:rsidP="0002452E">
      <w:pPr>
        <w:spacing w:line="360" w:lineRule="auto"/>
        <w:jc w:val="both"/>
        <w:rPr>
          <w:rFonts w:ascii="Arial" w:hAnsi="Arial" w:cs="Arial"/>
          <w:sz w:val="22"/>
          <w:szCs w:val="22"/>
          <w:lang w:val="es-AR"/>
        </w:rPr>
      </w:pPr>
      <w:r w:rsidRPr="0002452E">
        <w:rPr>
          <w:rFonts w:ascii="Arial" w:hAnsi="Arial" w:cs="Arial"/>
          <w:sz w:val="22"/>
          <w:szCs w:val="22"/>
          <w:lang w:val="es-AR"/>
        </w:rPr>
        <w:t>Bibliográfico y Documental en Desuso, en adelante “La Comisión”, la que tendrá por función Clasificar y gestionar dicho material.</w:t>
      </w:r>
    </w:p>
    <w:p w:rsidR="00265142" w:rsidRPr="0002452E" w:rsidRDefault="00265142" w:rsidP="0002452E">
      <w:pPr>
        <w:spacing w:line="360" w:lineRule="auto"/>
        <w:jc w:val="both"/>
        <w:rPr>
          <w:rFonts w:ascii="Arial" w:hAnsi="Arial" w:cs="Arial"/>
          <w:sz w:val="22"/>
          <w:szCs w:val="22"/>
          <w:lang w:val="es-AR"/>
        </w:rPr>
      </w:pPr>
    </w:p>
    <w:p w:rsidR="00511DA5" w:rsidRPr="0002452E" w:rsidRDefault="00511DA5" w:rsidP="0002452E">
      <w:pPr>
        <w:spacing w:line="360" w:lineRule="auto"/>
        <w:jc w:val="both"/>
        <w:rPr>
          <w:rFonts w:ascii="Arial" w:hAnsi="Arial" w:cs="Arial"/>
          <w:sz w:val="22"/>
          <w:szCs w:val="22"/>
          <w:lang w:val="es-AR"/>
        </w:rPr>
      </w:pPr>
      <w:r w:rsidRPr="0002452E">
        <w:rPr>
          <w:rFonts w:ascii="Arial" w:hAnsi="Arial" w:cs="Arial"/>
          <w:sz w:val="22"/>
          <w:szCs w:val="22"/>
          <w:lang w:val="es-AR"/>
        </w:rPr>
        <w:t>Artículo 4º</w:t>
      </w:r>
      <w:r w:rsidRPr="0002452E">
        <w:rPr>
          <w:rFonts w:ascii="Arial" w:hAnsi="Arial" w:cs="Arial"/>
          <w:i/>
          <w:sz w:val="22"/>
          <w:szCs w:val="22"/>
          <w:lang w:val="es-AR"/>
        </w:rPr>
        <w:t>-Composición-</w:t>
      </w:r>
      <w:r w:rsidRPr="0002452E">
        <w:rPr>
          <w:rFonts w:ascii="Arial" w:hAnsi="Arial" w:cs="Arial"/>
          <w:sz w:val="22"/>
          <w:szCs w:val="22"/>
          <w:lang w:val="es-AR"/>
        </w:rPr>
        <w:t xml:space="preserve"> La Comisión debe integrarse al menos con los siguientes representantes:</w:t>
      </w:r>
    </w:p>
    <w:p w:rsidR="00511DA5" w:rsidRPr="005C1BD5" w:rsidRDefault="00511DA5" w:rsidP="005C1BD5">
      <w:pPr>
        <w:pStyle w:val="Prrafodelista"/>
        <w:numPr>
          <w:ilvl w:val="0"/>
          <w:numId w:val="3"/>
        </w:numPr>
        <w:spacing w:line="360" w:lineRule="auto"/>
        <w:ind w:left="567" w:hanging="567"/>
        <w:jc w:val="both"/>
        <w:rPr>
          <w:rFonts w:ascii="Arial" w:hAnsi="Arial" w:cs="Arial"/>
          <w:sz w:val="22"/>
          <w:szCs w:val="22"/>
          <w:lang w:val="es-AR"/>
        </w:rPr>
      </w:pPr>
      <w:r w:rsidRPr="005C1BD5">
        <w:rPr>
          <w:rFonts w:ascii="Arial" w:hAnsi="Arial" w:cs="Arial"/>
          <w:sz w:val="22"/>
          <w:szCs w:val="22"/>
          <w:lang w:val="es-AR"/>
        </w:rPr>
        <w:t>Por el Ministerio de Cultura: El/la titular de la Dirección General del Libro y Promoción de la Lectura, o la persona que por acto administrativo se destine a tal efecto.</w:t>
      </w:r>
    </w:p>
    <w:p w:rsidR="00511DA5" w:rsidRPr="005C1BD5" w:rsidRDefault="00511DA5" w:rsidP="005C1BD5">
      <w:pPr>
        <w:pStyle w:val="Prrafodelista"/>
        <w:numPr>
          <w:ilvl w:val="0"/>
          <w:numId w:val="3"/>
        </w:numPr>
        <w:spacing w:line="360" w:lineRule="auto"/>
        <w:ind w:left="567" w:hanging="567"/>
        <w:jc w:val="both"/>
        <w:rPr>
          <w:rFonts w:ascii="Arial" w:hAnsi="Arial" w:cs="Arial"/>
          <w:sz w:val="22"/>
          <w:szCs w:val="22"/>
          <w:lang w:val="es-AR"/>
        </w:rPr>
      </w:pPr>
      <w:r w:rsidRPr="005C1BD5">
        <w:rPr>
          <w:rFonts w:ascii="Arial" w:hAnsi="Arial" w:cs="Arial"/>
          <w:sz w:val="22"/>
          <w:szCs w:val="22"/>
          <w:lang w:val="es-AR"/>
        </w:rPr>
        <w:t>Por el Ministerio de Educación: El/la titular de la Biblioteca del Docente y el/la titular de la Dirección General de Educación de Gestión Estatal, o las personas que por acto administrativo se destinen a tal efecto.</w:t>
      </w:r>
    </w:p>
    <w:p w:rsidR="00511DA5" w:rsidRPr="005C1BD5" w:rsidRDefault="00511DA5" w:rsidP="005C1BD5">
      <w:pPr>
        <w:pStyle w:val="Prrafodelista"/>
        <w:numPr>
          <w:ilvl w:val="0"/>
          <w:numId w:val="3"/>
        </w:numPr>
        <w:spacing w:line="360" w:lineRule="auto"/>
        <w:ind w:left="567" w:hanging="567"/>
        <w:jc w:val="both"/>
        <w:rPr>
          <w:rFonts w:ascii="Arial" w:hAnsi="Arial" w:cs="Arial"/>
          <w:sz w:val="22"/>
          <w:szCs w:val="22"/>
          <w:lang w:val="es-AR"/>
        </w:rPr>
      </w:pPr>
      <w:r w:rsidRPr="005C1BD5">
        <w:rPr>
          <w:rFonts w:ascii="Arial" w:hAnsi="Arial" w:cs="Arial"/>
          <w:sz w:val="22"/>
          <w:szCs w:val="22"/>
          <w:lang w:val="es-AR"/>
        </w:rPr>
        <w:t>Por la Legislatura: Un/a representante de la Comisión de Comunicación Social, un/a representante de la Comisión de Cultura y un/a representante de la Comisión de Educación, y</w:t>
      </w:r>
    </w:p>
    <w:p w:rsidR="00511DA5" w:rsidRPr="005C1BD5" w:rsidRDefault="00511DA5" w:rsidP="005C1BD5">
      <w:pPr>
        <w:pStyle w:val="Prrafodelista"/>
        <w:numPr>
          <w:ilvl w:val="0"/>
          <w:numId w:val="3"/>
        </w:numPr>
        <w:spacing w:line="360" w:lineRule="auto"/>
        <w:ind w:left="567" w:hanging="567"/>
        <w:jc w:val="both"/>
        <w:rPr>
          <w:rFonts w:ascii="Arial" w:hAnsi="Arial" w:cs="Arial"/>
          <w:sz w:val="22"/>
          <w:szCs w:val="22"/>
          <w:lang w:val="es-AR"/>
        </w:rPr>
      </w:pPr>
      <w:r w:rsidRPr="005C1BD5">
        <w:rPr>
          <w:rFonts w:ascii="Arial" w:hAnsi="Arial" w:cs="Arial"/>
          <w:sz w:val="22"/>
          <w:szCs w:val="22"/>
          <w:lang w:val="es-AR"/>
        </w:rPr>
        <w:t>Por responsables directos de las Bibliotecas, sólo en las reuniones en las que se trate el destino del material perteneciente al respectivo acervo bibliográfico.</w:t>
      </w:r>
    </w:p>
    <w:p w:rsidR="00511DA5" w:rsidRPr="005C1BD5" w:rsidRDefault="00511DA5" w:rsidP="005C1BD5">
      <w:pPr>
        <w:pStyle w:val="Prrafodelista"/>
        <w:numPr>
          <w:ilvl w:val="0"/>
          <w:numId w:val="3"/>
        </w:numPr>
        <w:spacing w:line="360" w:lineRule="auto"/>
        <w:ind w:left="567" w:hanging="567"/>
        <w:jc w:val="both"/>
        <w:rPr>
          <w:rFonts w:ascii="Arial" w:hAnsi="Arial" w:cs="Arial"/>
          <w:sz w:val="22"/>
          <w:szCs w:val="22"/>
          <w:lang w:val="es-AR"/>
        </w:rPr>
      </w:pPr>
      <w:r w:rsidRPr="005C1BD5">
        <w:rPr>
          <w:rFonts w:ascii="Arial" w:hAnsi="Arial" w:cs="Arial"/>
          <w:sz w:val="22"/>
          <w:szCs w:val="22"/>
          <w:lang w:val="es-AR"/>
        </w:rPr>
        <w:t>Un representante de la Asociación de Bibliotecarios Graduados de la República</w:t>
      </w:r>
      <w:r w:rsidR="005C1BD5" w:rsidRPr="005C1BD5">
        <w:rPr>
          <w:rFonts w:ascii="Arial" w:hAnsi="Arial" w:cs="Arial"/>
          <w:sz w:val="22"/>
          <w:szCs w:val="22"/>
          <w:lang w:val="es-AR"/>
        </w:rPr>
        <w:t xml:space="preserve"> </w:t>
      </w:r>
      <w:r w:rsidRPr="005C1BD5">
        <w:rPr>
          <w:rFonts w:ascii="Arial" w:hAnsi="Arial" w:cs="Arial"/>
          <w:sz w:val="22"/>
          <w:szCs w:val="22"/>
          <w:lang w:val="es-AR"/>
        </w:rPr>
        <w:t>Argentina (APGRA), y</w:t>
      </w:r>
    </w:p>
    <w:p w:rsidR="00511DA5" w:rsidRPr="005C1BD5" w:rsidRDefault="00511DA5" w:rsidP="005C1BD5">
      <w:pPr>
        <w:pStyle w:val="Prrafodelista"/>
        <w:numPr>
          <w:ilvl w:val="0"/>
          <w:numId w:val="3"/>
        </w:numPr>
        <w:spacing w:line="360" w:lineRule="auto"/>
        <w:ind w:left="567" w:hanging="567"/>
        <w:jc w:val="both"/>
        <w:rPr>
          <w:rFonts w:ascii="Arial" w:hAnsi="Arial" w:cs="Arial"/>
          <w:sz w:val="22"/>
          <w:szCs w:val="22"/>
          <w:lang w:val="es-AR"/>
        </w:rPr>
      </w:pPr>
      <w:r w:rsidRPr="005C1BD5">
        <w:rPr>
          <w:rFonts w:ascii="Arial" w:hAnsi="Arial" w:cs="Arial"/>
          <w:sz w:val="22"/>
          <w:szCs w:val="22"/>
          <w:lang w:val="es-AR"/>
        </w:rPr>
        <w:t>Un docente de la Tecnicatura Superior en Bibliotecología del Ministerio de Educación.</w:t>
      </w:r>
    </w:p>
    <w:p w:rsidR="00265142" w:rsidRPr="0002452E" w:rsidRDefault="00265142" w:rsidP="0002452E">
      <w:pPr>
        <w:spacing w:line="360" w:lineRule="auto"/>
        <w:jc w:val="both"/>
        <w:rPr>
          <w:rFonts w:ascii="Arial" w:hAnsi="Arial" w:cs="Arial"/>
          <w:sz w:val="22"/>
          <w:szCs w:val="22"/>
          <w:lang w:val="es-AR"/>
        </w:rPr>
      </w:pPr>
    </w:p>
    <w:p w:rsidR="00511DA5" w:rsidRPr="0002452E" w:rsidRDefault="00511DA5" w:rsidP="0002452E">
      <w:pPr>
        <w:spacing w:line="360" w:lineRule="auto"/>
        <w:jc w:val="both"/>
        <w:rPr>
          <w:rFonts w:ascii="Arial" w:hAnsi="Arial" w:cs="Arial"/>
          <w:sz w:val="22"/>
          <w:szCs w:val="22"/>
          <w:lang w:val="es-AR"/>
        </w:rPr>
      </w:pPr>
      <w:r w:rsidRPr="0002452E">
        <w:rPr>
          <w:rFonts w:ascii="Arial" w:hAnsi="Arial" w:cs="Arial"/>
          <w:sz w:val="22"/>
          <w:szCs w:val="22"/>
          <w:lang w:val="es-AR"/>
        </w:rPr>
        <w:t>Artículo 5º</w:t>
      </w:r>
      <w:r w:rsidRPr="0002452E">
        <w:rPr>
          <w:rFonts w:ascii="Arial" w:hAnsi="Arial" w:cs="Arial"/>
          <w:i/>
          <w:sz w:val="22"/>
          <w:szCs w:val="22"/>
          <w:lang w:val="es-AR"/>
        </w:rPr>
        <w:t>-Criterios de Clasificación-</w:t>
      </w:r>
      <w:r w:rsidRPr="0002452E">
        <w:rPr>
          <w:rFonts w:ascii="Arial" w:hAnsi="Arial" w:cs="Arial"/>
          <w:sz w:val="22"/>
          <w:szCs w:val="22"/>
          <w:lang w:val="es-AR"/>
        </w:rPr>
        <w:t xml:space="preserve"> La Comisión debe clasificar el material en función de las siguientes categorías:</w:t>
      </w:r>
    </w:p>
    <w:p w:rsidR="00511DA5" w:rsidRPr="005C1BD5" w:rsidRDefault="00511DA5" w:rsidP="005C1BD5">
      <w:pPr>
        <w:pStyle w:val="Prrafodelista"/>
        <w:numPr>
          <w:ilvl w:val="0"/>
          <w:numId w:val="5"/>
        </w:numPr>
        <w:spacing w:line="360" w:lineRule="auto"/>
        <w:ind w:left="567" w:hanging="567"/>
        <w:jc w:val="both"/>
        <w:rPr>
          <w:rFonts w:ascii="Arial" w:hAnsi="Arial" w:cs="Arial"/>
          <w:sz w:val="22"/>
          <w:szCs w:val="22"/>
          <w:lang w:val="es-AR"/>
        </w:rPr>
      </w:pPr>
      <w:r w:rsidRPr="005C1BD5">
        <w:rPr>
          <w:rFonts w:ascii="Arial" w:hAnsi="Arial" w:cs="Arial"/>
          <w:sz w:val="22"/>
          <w:szCs w:val="22"/>
          <w:lang w:val="es-AR"/>
        </w:rPr>
        <w:t xml:space="preserve">Material obsoleto: Es el que ha perdido vigencia debido a que sus contenidos no corresponden al desarrollo actual de las ciencias, o porque el soporte que lo contiene no puede ser consultado por tratarse de un medio tecnológicamente obsoleto. En este último </w:t>
      </w:r>
      <w:r w:rsidRPr="005C1BD5">
        <w:rPr>
          <w:rFonts w:ascii="Arial" w:hAnsi="Arial" w:cs="Arial"/>
          <w:sz w:val="22"/>
          <w:szCs w:val="22"/>
          <w:lang w:val="es-AR"/>
        </w:rPr>
        <w:lastRenderedPageBreak/>
        <w:t>caso, antes de dar de baja el material, se deberá pasar la información a un nuevo formato, tecnológicamente adecuado. En el caso del Material Bibliográfico y Documental de las Bibliotecas Escolares y Especializadas de los establecimientos educativos de gestión estatal dependientes del Ministerio de Educación, también debe considerarse obsoleto al material desactualizado en relación con los diseños curriculares, planes de estudio o programas, en cuyo caso se mantendrán sólo los ejemplares que fije la reglamentación a manera de reserva documental.</w:t>
      </w:r>
    </w:p>
    <w:p w:rsidR="00511DA5" w:rsidRPr="005C1BD5" w:rsidRDefault="00511DA5" w:rsidP="005C1BD5">
      <w:pPr>
        <w:pStyle w:val="Prrafodelista"/>
        <w:numPr>
          <w:ilvl w:val="0"/>
          <w:numId w:val="5"/>
        </w:numPr>
        <w:spacing w:line="360" w:lineRule="auto"/>
        <w:ind w:left="567" w:hanging="567"/>
        <w:jc w:val="both"/>
        <w:rPr>
          <w:rFonts w:ascii="Arial" w:hAnsi="Arial" w:cs="Arial"/>
          <w:sz w:val="22"/>
          <w:szCs w:val="22"/>
          <w:lang w:val="es-AR"/>
        </w:rPr>
      </w:pPr>
      <w:r w:rsidRPr="005C1BD5">
        <w:rPr>
          <w:rFonts w:ascii="Arial" w:hAnsi="Arial" w:cs="Arial"/>
          <w:sz w:val="22"/>
          <w:szCs w:val="22"/>
          <w:lang w:val="es-AR"/>
        </w:rPr>
        <w:t>Material deteriorado o dañado en forma irreversible: Es el que presenta daños irreversibles en sus componentes, ocasionados por agentes biológicos, químicos o físicos, o cuando una parte considerable de los materiales haya sido mutilada o destruida.</w:t>
      </w:r>
    </w:p>
    <w:p w:rsidR="00511DA5" w:rsidRPr="005C1BD5" w:rsidRDefault="00511DA5" w:rsidP="005C1BD5">
      <w:pPr>
        <w:pStyle w:val="Prrafodelista"/>
        <w:numPr>
          <w:ilvl w:val="0"/>
          <w:numId w:val="5"/>
        </w:numPr>
        <w:spacing w:line="360" w:lineRule="auto"/>
        <w:ind w:left="567" w:hanging="567"/>
        <w:jc w:val="both"/>
        <w:rPr>
          <w:rFonts w:ascii="Arial" w:hAnsi="Arial" w:cs="Arial"/>
          <w:sz w:val="22"/>
          <w:szCs w:val="22"/>
          <w:lang w:val="es-AR"/>
        </w:rPr>
      </w:pPr>
      <w:r w:rsidRPr="005C1BD5">
        <w:rPr>
          <w:rFonts w:ascii="Arial" w:hAnsi="Arial" w:cs="Arial"/>
          <w:sz w:val="22"/>
          <w:szCs w:val="22"/>
          <w:lang w:val="es-AR"/>
        </w:rPr>
        <w:t>Material excesivo: son aquellas publicaciones de las cuales se posee una cantidad de copias superior a las necesarias para el funcionamiento de la Biblioteca y consulta por parte de los usuarios.</w:t>
      </w:r>
    </w:p>
    <w:p w:rsidR="00511DA5" w:rsidRPr="005C1BD5" w:rsidRDefault="00511DA5" w:rsidP="005C1BD5">
      <w:pPr>
        <w:pStyle w:val="Prrafodelista"/>
        <w:numPr>
          <w:ilvl w:val="0"/>
          <w:numId w:val="5"/>
        </w:numPr>
        <w:spacing w:line="360" w:lineRule="auto"/>
        <w:ind w:left="567" w:hanging="567"/>
        <w:jc w:val="both"/>
        <w:rPr>
          <w:rFonts w:ascii="Arial" w:hAnsi="Arial" w:cs="Arial"/>
          <w:sz w:val="22"/>
          <w:szCs w:val="22"/>
          <w:lang w:val="es-AR"/>
        </w:rPr>
      </w:pPr>
      <w:r w:rsidRPr="005C1BD5">
        <w:rPr>
          <w:rFonts w:ascii="Arial" w:hAnsi="Arial" w:cs="Arial"/>
          <w:sz w:val="22"/>
          <w:szCs w:val="22"/>
          <w:lang w:val="es-AR"/>
        </w:rPr>
        <w:t>Material hurtado o no devuelto: Es el material bibliográfico y documental sustraído por los lectores o que habiendo sido prestado, se ha tornado imposible su recuperación, y</w:t>
      </w:r>
    </w:p>
    <w:p w:rsidR="00511DA5" w:rsidRPr="005C1BD5" w:rsidRDefault="00511DA5" w:rsidP="005C1BD5">
      <w:pPr>
        <w:pStyle w:val="Prrafodelista"/>
        <w:numPr>
          <w:ilvl w:val="0"/>
          <w:numId w:val="5"/>
        </w:numPr>
        <w:spacing w:line="360" w:lineRule="auto"/>
        <w:ind w:left="567" w:hanging="567"/>
        <w:jc w:val="both"/>
        <w:rPr>
          <w:rFonts w:ascii="Arial" w:hAnsi="Arial" w:cs="Arial"/>
          <w:sz w:val="22"/>
          <w:szCs w:val="22"/>
          <w:lang w:val="es-AR"/>
        </w:rPr>
      </w:pPr>
      <w:r w:rsidRPr="005C1BD5">
        <w:rPr>
          <w:rFonts w:ascii="Arial" w:hAnsi="Arial" w:cs="Arial"/>
          <w:sz w:val="22"/>
          <w:szCs w:val="22"/>
          <w:lang w:val="es-AR"/>
        </w:rPr>
        <w:t>Otra categoría que a criterio de la Comisión Clasificadora pudiera establecerse por mayoría.</w:t>
      </w:r>
    </w:p>
    <w:p w:rsidR="00265142" w:rsidRPr="0002452E" w:rsidRDefault="00265142" w:rsidP="005C1BD5">
      <w:pPr>
        <w:spacing w:line="360" w:lineRule="auto"/>
        <w:ind w:left="567" w:hanging="567"/>
        <w:jc w:val="both"/>
        <w:rPr>
          <w:rFonts w:ascii="Arial" w:hAnsi="Arial" w:cs="Arial"/>
          <w:sz w:val="22"/>
          <w:szCs w:val="22"/>
          <w:lang w:val="es-AR"/>
        </w:rPr>
      </w:pPr>
    </w:p>
    <w:p w:rsidR="00511DA5" w:rsidRPr="0002452E" w:rsidRDefault="00511DA5" w:rsidP="0002452E">
      <w:pPr>
        <w:spacing w:line="360" w:lineRule="auto"/>
        <w:jc w:val="both"/>
        <w:rPr>
          <w:rFonts w:ascii="Arial" w:hAnsi="Arial" w:cs="Arial"/>
          <w:sz w:val="22"/>
          <w:szCs w:val="22"/>
          <w:lang w:val="es-AR"/>
        </w:rPr>
      </w:pPr>
      <w:r w:rsidRPr="0002452E">
        <w:rPr>
          <w:rFonts w:ascii="Arial" w:hAnsi="Arial" w:cs="Arial"/>
          <w:sz w:val="22"/>
          <w:szCs w:val="22"/>
          <w:lang w:val="es-AR"/>
        </w:rPr>
        <w:t>Artículo 6º</w:t>
      </w:r>
      <w:r w:rsidRPr="0002452E">
        <w:rPr>
          <w:rFonts w:ascii="Arial" w:hAnsi="Arial" w:cs="Arial"/>
          <w:i/>
          <w:sz w:val="22"/>
          <w:szCs w:val="22"/>
          <w:lang w:val="es-AR"/>
        </w:rPr>
        <w:t>-Límites-</w:t>
      </w:r>
      <w:r w:rsidRPr="0002452E">
        <w:rPr>
          <w:rFonts w:ascii="Arial" w:hAnsi="Arial" w:cs="Arial"/>
          <w:sz w:val="22"/>
          <w:szCs w:val="22"/>
          <w:lang w:val="es-AR"/>
        </w:rPr>
        <w:t xml:space="preserve"> Cada Biblioteca puede dar de baja por hurto o no devolución en forma anual, sin que las mismas sean imputadas a responsabilidad del personal de la biblioteca los ejemplares no superen los porcentajes máximos que se detallan a continuación, siempre que el valor unitario comercial o de reemplazo de los mismos no supere el de trescientas (300) unidades fijas:</w:t>
      </w:r>
    </w:p>
    <w:p w:rsidR="00511DA5" w:rsidRPr="005C1BD5" w:rsidRDefault="00511DA5" w:rsidP="005C1BD5">
      <w:pPr>
        <w:pStyle w:val="Prrafodelista"/>
        <w:numPr>
          <w:ilvl w:val="0"/>
          <w:numId w:val="7"/>
        </w:numPr>
        <w:spacing w:line="360" w:lineRule="auto"/>
        <w:ind w:left="567" w:hanging="567"/>
        <w:jc w:val="both"/>
        <w:rPr>
          <w:rFonts w:ascii="Arial" w:hAnsi="Arial" w:cs="Arial"/>
          <w:sz w:val="22"/>
          <w:szCs w:val="22"/>
          <w:lang w:val="es-AR"/>
        </w:rPr>
      </w:pPr>
      <w:r w:rsidRPr="005C1BD5">
        <w:rPr>
          <w:rFonts w:ascii="Arial" w:hAnsi="Arial" w:cs="Arial"/>
          <w:sz w:val="22"/>
          <w:szCs w:val="22"/>
          <w:lang w:val="es-AR"/>
        </w:rPr>
        <w:t>Un medio por ciento (0,5 %) del acervo bibliográfico, en el caso de las Bibliotecas dependientes del Ministerio de Cultura.</w:t>
      </w:r>
    </w:p>
    <w:p w:rsidR="00511DA5" w:rsidRPr="005C1BD5" w:rsidRDefault="00511DA5" w:rsidP="005C1BD5">
      <w:pPr>
        <w:pStyle w:val="Prrafodelista"/>
        <w:numPr>
          <w:ilvl w:val="0"/>
          <w:numId w:val="7"/>
        </w:numPr>
        <w:spacing w:line="360" w:lineRule="auto"/>
        <w:ind w:left="567" w:hanging="567"/>
        <w:jc w:val="both"/>
        <w:rPr>
          <w:rFonts w:ascii="Arial" w:hAnsi="Arial" w:cs="Arial"/>
          <w:sz w:val="22"/>
          <w:szCs w:val="22"/>
          <w:lang w:val="es-AR"/>
        </w:rPr>
      </w:pPr>
      <w:r w:rsidRPr="005C1BD5">
        <w:rPr>
          <w:rFonts w:ascii="Arial" w:hAnsi="Arial" w:cs="Arial"/>
          <w:sz w:val="22"/>
          <w:szCs w:val="22"/>
          <w:lang w:val="es-AR"/>
        </w:rPr>
        <w:t>Dos por ciento (2 %) de los libros u otros documentos de referencia a ser consultados en la sala de la Biblioteca escolar o especializada de cada establecimiento educativo de gestión estatal dependiente del Ministerio de Educación.</w:t>
      </w:r>
    </w:p>
    <w:p w:rsidR="00511DA5" w:rsidRPr="005C1BD5" w:rsidRDefault="00511DA5" w:rsidP="005C1BD5">
      <w:pPr>
        <w:pStyle w:val="Prrafodelista"/>
        <w:numPr>
          <w:ilvl w:val="0"/>
          <w:numId w:val="7"/>
        </w:numPr>
        <w:spacing w:line="360" w:lineRule="auto"/>
        <w:ind w:left="567" w:hanging="567"/>
        <w:jc w:val="both"/>
        <w:rPr>
          <w:rFonts w:ascii="Arial" w:hAnsi="Arial" w:cs="Arial"/>
          <w:sz w:val="22"/>
          <w:szCs w:val="22"/>
          <w:lang w:val="es-AR"/>
        </w:rPr>
      </w:pPr>
      <w:r w:rsidRPr="005C1BD5">
        <w:rPr>
          <w:rFonts w:ascii="Arial" w:hAnsi="Arial" w:cs="Arial"/>
          <w:sz w:val="22"/>
          <w:szCs w:val="22"/>
          <w:lang w:val="es-AR"/>
        </w:rPr>
        <w:t>Dos por ciento (2 %) de los libros u otros documentos especializados a ser consultados en la sala de la Biblioteca escolar o especializada de cada establecimiento educativo de gestión estatal dependiente del Ministerio de Educación, y</w:t>
      </w:r>
    </w:p>
    <w:p w:rsidR="00511DA5" w:rsidRPr="005C1BD5" w:rsidRDefault="00511DA5" w:rsidP="005C1BD5">
      <w:pPr>
        <w:pStyle w:val="Prrafodelista"/>
        <w:numPr>
          <w:ilvl w:val="0"/>
          <w:numId w:val="7"/>
        </w:numPr>
        <w:spacing w:line="360" w:lineRule="auto"/>
        <w:ind w:left="567" w:hanging="567"/>
        <w:jc w:val="both"/>
        <w:rPr>
          <w:rFonts w:ascii="Arial" w:hAnsi="Arial" w:cs="Arial"/>
          <w:sz w:val="22"/>
          <w:szCs w:val="22"/>
          <w:lang w:val="es-AR"/>
        </w:rPr>
      </w:pPr>
      <w:r w:rsidRPr="005C1BD5">
        <w:rPr>
          <w:rFonts w:ascii="Arial" w:hAnsi="Arial" w:cs="Arial"/>
          <w:sz w:val="22"/>
          <w:szCs w:val="22"/>
          <w:lang w:val="es-AR"/>
        </w:rPr>
        <w:t>Diez por ciento (10 %) de los manuales y libros de lectura escolar, material de recreación o de divulgación, de la Biblioteca escolar o especializada de cada establecimiento educativo de gestión estatal dependiente del Ministerio de Educación, destinados a préstamo y uso por parte de docentes y alumnos.</w:t>
      </w:r>
    </w:p>
    <w:p w:rsidR="00511DA5" w:rsidRPr="0002452E" w:rsidRDefault="00511DA5" w:rsidP="0002452E">
      <w:pPr>
        <w:spacing w:line="360" w:lineRule="auto"/>
        <w:jc w:val="both"/>
        <w:rPr>
          <w:rFonts w:ascii="Arial" w:hAnsi="Arial" w:cs="Arial"/>
          <w:sz w:val="22"/>
          <w:szCs w:val="22"/>
          <w:lang w:val="es-AR"/>
        </w:rPr>
      </w:pPr>
      <w:r w:rsidRPr="0002452E">
        <w:rPr>
          <w:rFonts w:ascii="Arial" w:hAnsi="Arial" w:cs="Arial"/>
          <w:sz w:val="22"/>
          <w:szCs w:val="22"/>
          <w:lang w:val="es-AR"/>
        </w:rPr>
        <w:t>En todos los casos la Dirección de cada Biblioteca debe elevar un informe anual en el cual se señalen las pérdidas o hurtos verificados, detallando si las mismas se encuentran comprendidas en el alguno de los incisos precedentes, dicho informe deberá aclarar las circunstancias en las que se produjo la referida pérdida o hurto.</w:t>
      </w:r>
    </w:p>
    <w:p w:rsidR="00265142" w:rsidRPr="0002452E" w:rsidRDefault="00265142" w:rsidP="0002452E">
      <w:pPr>
        <w:spacing w:line="360" w:lineRule="auto"/>
        <w:jc w:val="both"/>
        <w:rPr>
          <w:rFonts w:ascii="Arial" w:hAnsi="Arial" w:cs="Arial"/>
          <w:sz w:val="22"/>
          <w:szCs w:val="22"/>
          <w:lang w:val="es-AR"/>
        </w:rPr>
      </w:pPr>
    </w:p>
    <w:p w:rsidR="00511DA5" w:rsidRPr="0002452E" w:rsidRDefault="00511DA5" w:rsidP="0002452E">
      <w:pPr>
        <w:spacing w:line="360" w:lineRule="auto"/>
        <w:jc w:val="both"/>
        <w:rPr>
          <w:rFonts w:ascii="Arial" w:hAnsi="Arial" w:cs="Arial"/>
          <w:sz w:val="22"/>
          <w:szCs w:val="22"/>
          <w:lang w:val="es-AR"/>
        </w:rPr>
      </w:pPr>
      <w:r w:rsidRPr="0002452E">
        <w:rPr>
          <w:rFonts w:ascii="Arial" w:hAnsi="Arial" w:cs="Arial"/>
          <w:sz w:val="22"/>
          <w:szCs w:val="22"/>
          <w:lang w:val="es-AR"/>
        </w:rPr>
        <w:t>Artículo 7º</w:t>
      </w:r>
      <w:r w:rsidRPr="0002452E">
        <w:rPr>
          <w:rFonts w:ascii="Arial" w:hAnsi="Arial" w:cs="Arial"/>
          <w:i/>
          <w:sz w:val="22"/>
          <w:szCs w:val="22"/>
          <w:lang w:val="es-AR"/>
        </w:rPr>
        <w:t>-Destino del Material-</w:t>
      </w:r>
      <w:r w:rsidRPr="0002452E">
        <w:rPr>
          <w:rFonts w:ascii="Arial" w:hAnsi="Arial" w:cs="Arial"/>
          <w:sz w:val="22"/>
          <w:szCs w:val="22"/>
          <w:lang w:val="es-AR"/>
        </w:rPr>
        <w:t xml:space="preserve"> El material bibliográfico y documental que fuera clasificado en al menos una (1) de las categorías detalladas en el Art. 5º, debe ser dado de baja para que el responsable de la biblioteca correspondiente proceda al descarte del mismo o, en caso del inc. c) del mencionado artículo, proceda a su reubicación o donación, con destino a los beneficiarios que determine La Comisión.</w:t>
      </w:r>
    </w:p>
    <w:p w:rsidR="00265142" w:rsidRPr="0002452E" w:rsidRDefault="00265142" w:rsidP="0002452E">
      <w:pPr>
        <w:spacing w:line="360" w:lineRule="auto"/>
        <w:jc w:val="both"/>
        <w:rPr>
          <w:rFonts w:ascii="Arial" w:hAnsi="Arial" w:cs="Arial"/>
          <w:sz w:val="22"/>
          <w:szCs w:val="22"/>
          <w:lang w:val="es-AR"/>
        </w:rPr>
      </w:pPr>
    </w:p>
    <w:p w:rsidR="00511DA5" w:rsidRPr="0002452E" w:rsidRDefault="00511DA5" w:rsidP="0002452E">
      <w:pPr>
        <w:spacing w:line="360" w:lineRule="auto"/>
        <w:jc w:val="both"/>
        <w:rPr>
          <w:rFonts w:ascii="Arial" w:hAnsi="Arial" w:cs="Arial"/>
          <w:sz w:val="22"/>
          <w:szCs w:val="22"/>
          <w:lang w:val="es-AR"/>
        </w:rPr>
      </w:pPr>
      <w:r w:rsidRPr="0002452E">
        <w:rPr>
          <w:rFonts w:ascii="Arial" w:hAnsi="Arial" w:cs="Arial"/>
          <w:sz w:val="22"/>
          <w:szCs w:val="22"/>
          <w:lang w:val="es-AR"/>
        </w:rPr>
        <w:t>Artículo 8º</w:t>
      </w:r>
      <w:r w:rsidRPr="0002452E">
        <w:rPr>
          <w:rFonts w:ascii="Arial" w:hAnsi="Arial" w:cs="Arial"/>
          <w:i/>
          <w:sz w:val="22"/>
          <w:szCs w:val="22"/>
          <w:lang w:val="es-AR"/>
        </w:rPr>
        <w:t>-Reubicación-</w:t>
      </w:r>
      <w:r w:rsidRPr="0002452E">
        <w:rPr>
          <w:rFonts w:ascii="Arial" w:hAnsi="Arial" w:cs="Arial"/>
          <w:sz w:val="22"/>
          <w:szCs w:val="22"/>
          <w:lang w:val="es-AR"/>
        </w:rPr>
        <w:t>Para el caso del inc. c) del Art. 5º, antes de disponer la baja del material, se debe verificar la necesidad de su reubicación en otra biblioteca del Gobierno de la Ciudad Autónoma de Buenos Aires, a través de un procedimiento que debe ser establecido por La Comisión.</w:t>
      </w:r>
    </w:p>
    <w:p w:rsidR="00265142" w:rsidRPr="0002452E" w:rsidRDefault="00265142" w:rsidP="0002452E">
      <w:pPr>
        <w:spacing w:line="360" w:lineRule="auto"/>
        <w:jc w:val="both"/>
        <w:rPr>
          <w:rFonts w:ascii="Arial" w:hAnsi="Arial" w:cs="Arial"/>
          <w:sz w:val="22"/>
          <w:szCs w:val="22"/>
          <w:lang w:val="es-AR"/>
        </w:rPr>
      </w:pPr>
    </w:p>
    <w:p w:rsidR="00511DA5" w:rsidRPr="0002452E" w:rsidRDefault="00511DA5" w:rsidP="0002452E">
      <w:pPr>
        <w:spacing w:line="360" w:lineRule="auto"/>
        <w:jc w:val="both"/>
        <w:rPr>
          <w:rFonts w:ascii="Arial" w:hAnsi="Arial" w:cs="Arial"/>
          <w:sz w:val="22"/>
          <w:szCs w:val="22"/>
          <w:lang w:val="es-AR"/>
        </w:rPr>
      </w:pPr>
      <w:r w:rsidRPr="0002452E">
        <w:rPr>
          <w:rFonts w:ascii="Arial" w:hAnsi="Arial" w:cs="Arial"/>
          <w:sz w:val="22"/>
          <w:szCs w:val="22"/>
          <w:lang w:val="es-AR"/>
        </w:rPr>
        <w:t>Artículo 9º</w:t>
      </w:r>
      <w:r w:rsidRPr="0002452E">
        <w:rPr>
          <w:rFonts w:ascii="Arial" w:hAnsi="Arial" w:cs="Arial"/>
          <w:i/>
          <w:sz w:val="22"/>
          <w:szCs w:val="22"/>
          <w:lang w:val="es-AR"/>
        </w:rPr>
        <w:t>-Preservación-</w:t>
      </w:r>
      <w:r w:rsidRPr="0002452E">
        <w:rPr>
          <w:rFonts w:ascii="Arial" w:hAnsi="Arial" w:cs="Arial"/>
          <w:sz w:val="22"/>
          <w:szCs w:val="22"/>
          <w:lang w:val="es-AR"/>
        </w:rPr>
        <w:t xml:space="preserve"> En caso que la solicitud de descarte o donación por parte del responsable de la biblioteca incluya la totalidad de los ejemplares de un texto, la Comisión debe corroborar si existen otros ejemplares en otras bibliotecas del G.C.A.B.A. y en caso de entenderlo necesario, garantizar la preservación de al menos un ejemplar y su resguardo en el medio técnico más adecuado.</w:t>
      </w:r>
    </w:p>
    <w:p w:rsidR="00265142" w:rsidRPr="0002452E" w:rsidRDefault="00265142" w:rsidP="0002452E">
      <w:pPr>
        <w:spacing w:line="360" w:lineRule="auto"/>
        <w:jc w:val="both"/>
        <w:rPr>
          <w:rFonts w:ascii="Arial" w:hAnsi="Arial" w:cs="Arial"/>
          <w:sz w:val="22"/>
          <w:szCs w:val="22"/>
          <w:lang w:val="es-AR"/>
        </w:rPr>
      </w:pPr>
    </w:p>
    <w:p w:rsidR="00511DA5" w:rsidRPr="0002452E" w:rsidRDefault="00511DA5" w:rsidP="0002452E">
      <w:pPr>
        <w:spacing w:line="360" w:lineRule="auto"/>
        <w:jc w:val="both"/>
        <w:rPr>
          <w:rFonts w:ascii="Arial" w:hAnsi="Arial" w:cs="Arial"/>
          <w:sz w:val="22"/>
          <w:szCs w:val="22"/>
          <w:lang w:val="es-AR"/>
        </w:rPr>
      </w:pPr>
      <w:r w:rsidRPr="0002452E">
        <w:rPr>
          <w:rFonts w:ascii="Arial" w:hAnsi="Arial" w:cs="Arial"/>
          <w:sz w:val="22"/>
          <w:szCs w:val="22"/>
          <w:lang w:val="es-AR"/>
        </w:rPr>
        <w:t>Artículo 10</w:t>
      </w:r>
      <w:r w:rsidRPr="0002452E">
        <w:rPr>
          <w:rFonts w:ascii="Arial" w:hAnsi="Arial" w:cs="Arial"/>
          <w:i/>
          <w:sz w:val="22"/>
          <w:szCs w:val="22"/>
          <w:lang w:val="es-AR"/>
        </w:rPr>
        <w:t>-Autorización-</w:t>
      </w:r>
      <w:r w:rsidRPr="0002452E">
        <w:rPr>
          <w:rFonts w:ascii="Arial" w:hAnsi="Arial" w:cs="Arial"/>
          <w:sz w:val="22"/>
          <w:szCs w:val="22"/>
          <w:lang w:val="es-AR"/>
        </w:rPr>
        <w:t xml:space="preserve"> Autorízase al Poder Ejecutivo a donar el material bibliográfico y documental clasificado en la categoría correspondiente al inc. c) del artículo 5º, a través de los organismos que disponga por reglamentación.</w:t>
      </w:r>
    </w:p>
    <w:p w:rsidR="0009329B" w:rsidRPr="0002452E" w:rsidRDefault="0009329B" w:rsidP="0002452E">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02452E" w:rsidTr="003A2640">
        <w:trPr>
          <w:jc w:val="center"/>
        </w:trPr>
        <w:tc>
          <w:tcPr>
            <w:tcW w:w="8969" w:type="dxa"/>
            <w:gridSpan w:val="2"/>
          </w:tcPr>
          <w:p w:rsidR="0009329B" w:rsidRPr="0002452E" w:rsidRDefault="0009329B" w:rsidP="0002452E">
            <w:pPr>
              <w:pStyle w:val="Textosinformato"/>
              <w:spacing w:before="240" w:line="360" w:lineRule="auto"/>
              <w:jc w:val="center"/>
              <w:rPr>
                <w:rFonts w:ascii="Arial" w:hAnsi="Arial" w:cs="Arial"/>
                <w:sz w:val="22"/>
                <w:u w:val="single"/>
              </w:rPr>
            </w:pPr>
            <w:r w:rsidRPr="0002452E">
              <w:rPr>
                <w:rFonts w:ascii="Arial" w:hAnsi="Arial" w:cs="Arial"/>
                <w:b/>
                <w:sz w:val="22"/>
                <w:szCs w:val="22"/>
              </w:rPr>
              <w:t xml:space="preserve">LEY </w:t>
            </w:r>
            <w:r w:rsidR="00511DA5" w:rsidRPr="0002452E">
              <w:rPr>
                <w:rFonts w:ascii="Arial" w:hAnsi="Arial" w:cs="Arial"/>
                <w:b/>
                <w:sz w:val="22"/>
                <w:szCs w:val="22"/>
              </w:rPr>
              <w:t>G</w:t>
            </w:r>
            <w:r w:rsidRPr="0002452E">
              <w:rPr>
                <w:rFonts w:ascii="Arial" w:hAnsi="Arial" w:cs="Arial"/>
                <w:b/>
                <w:sz w:val="22"/>
                <w:szCs w:val="22"/>
              </w:rPr>
              <w:t xml:space="preserve">- N° </w:t>
            </w:r>
            <w:r w:rsidR="00511DA5" w:rsidRPr="0002452E">
              <w:rPr>
                <w:rFonts w:ascii="Arial" w:hAnsi="Arial" w:cs="Arial"/>
                <w:b/>
                <w:sz w:val="22"/>
                <w:szCs w:val="22"/>
              </w:rPr>
              <w:t>3</w:t>
            </w:r>
            <w:r w:rsidR="005C1BD5">
              <w:rPr>
                <w:rFonts w:ascii="Arial" w:hAnsi="Arial" w:cs="Arial"/>
                <w:b/>
                <w:sz w:val="22"/>
                <w:szCs w:val="22"/>
              </w:rPr>
              <w:t>.</w:t>
            </w:r>
            <w:r w:rsidR="00511DA5" w:rsidRPr="0002452E">
              <w:rPr>
                <w:rFonts w:ascii="Arial" w:hAnsi="Arial" w:cs="Arial"/>
                <w:b/>
                <w:sz w:val="22"/>
                <w:szCs w:val="22"/>
              </w:rPr>
              <w:t>911</w:t>
            </w:r>
          </w:p>
          <w:p w:rsidR="0009329B" w:rsidRPr="0002452E" w:rsidRDefault="0009329B" w:rsidP="0002452E">
            <w:pPr>
              <w:pStyle w:val="Textosinformato"/>
              <w:spacing w:line="360" w:lineRule="auto"/>
              <w:jc w:val="center"/>
              <w:rPr>
                <w:rFonts w:ascii="Arial" w:hAnsi="Arial" w:cs="Arial"/>
                <w:b/>
                <w:sz w:val="22"/>
                <w:u w:val="single"/>
              </w:rPr>
            </w:pPr>
            <w:r w:rsidRPr="0002452E">
              <w:rPr>
                <w:rFonts w:ascii="Arial" w:hAnsi="Arial" w:cs="Arial"/>
                <w:b/>
                <w:sz w:val="22"/>
                <w:szCs w:val="22"/>
              </w:rPr>
              <w:t>TABLA DE ANTECEDENTES</w:t>
            </w:r>
          </w:p>
        </w:tc>
      </w:tr>
      <w:tr w:rsidR="0009329B" w:rsidRPr="0002452E" w:rsidTr="003A2640">
        <w:trPr>
          <w:jc w:val="center"/>
        </w:trPr>
        <w:tc>
          <w:tcPr>
            <w:tcW w:w="3780" w:type="dxa"/>
            <w:vAlign w:val="center"/>
          </w:tcPr>
          <w:p w:rsidR="0009329B" w:rsidRPr="0002452E" w:rsidRDefault="0009329B" w:rsidP="0002452E">
            <w:pPr>
              <w:pStyle w:val="Textosinformato"/>
              <w:spacing w:line="360" w:lineRule="auto"/>
              <w:jc w:val="center"/>
              <w:rPr>
                <w:rFonts w:ascii="Arial" w:hAnsi="Arial" w:cs="Arial"/>
                <w:b/>
                <w:sz w:val="22"/>
              </w:rPr>
            </w:pPr>
            <w:r w:rsidRPr="0002452E">
              <w:rPr>
                <w:rFonts w:ascii="Arial" w:hAnsi="Arial" w:cs="Arial"/>
                <w:b/>
                <w:sz w:val="22"/>
                <w:szCs w:val="22"/>
              </w:rPr>
              <w:t>Artículo del Texto</w:t>
            </w:r>
          </w:p>
          <w:p w:rsidR="0009329B" w:rsidRPr="0002452E" w:rsidRDefault="0009329B" w:rsidP="0002452E">
            <w:pPr>
              <w:pStyle w:val="Textosinformato"/>
              <w:spacing w:line="360" w:lineRule="auto"/>
              <w:jc w:val="center"/>
              <w:rPr>
                <w:rFonts w:ascii="Arial" w:hAnsi="Arial" w:cs="Arial"/>
                <w:b/>
                <w:sz w:val="22"/>
              </w:rPr>
            </w:pPr>
            <w:r w:rsidRPr="0002452E">
              <w:rPr>
                <w:rFonts w:ascii="Arial" w:hAnsi="Arial" w:cs="Arial"/>
                <w:b/>
                <w:sz w:val="22"/>
                <w:szCs w:val="22"/>
              </w:rPr>
              <w:t>Definitivo</w:t>
            </w:r>
          </w:p>
        </w:tc>
        <w:tc>
          <w:tcPr>
            <w:tcW w:w="5189" w:type="dxa"/>
            <w:vAlign w:val="center"/>
          </w:tcPr>
          <w:p w:rsidR="0009329B" w:rsidRPr="0002452E" w:rsidRDefault="0009329B" w:rsidP="0002452E">
            <w:pPr>
              <w:pStyle w:val="Textosinformato"/>
              <w:spacing w:line="360" w:lineRule="auto"/>
              <w:jc w:val="center"/>
              <w:rPr>
                <w:rFonts w:ascii="Arial" w:hAnsi="Arial" w:cs="Arial"/>
                <w:b/>
                <w:sz w:val="22"/>
              </w:rPr>
            </w:pPr>
            <w:r w:rsidRPr="0002452E">
              <w:rPr>
                <w:rFonts w:ascii="Arial" w:hAnsi="Arial" w:cs="Arial"/>
                <w:b/>
                <w:sz w:val="22"/>
                <w:szCs w:val="22"/>
              </w:rPr>
              <w:t>Fuente</w:t>
            </w:r>
          </w:p>
        </w:tc>
      </w:tr>
      <w:tr w:rsidR="0009329B" w:rsidRPr="0002452E" w:rsidTr="003A2640">
        <w:trPr>
          <w:trHeight w:val="555"/>
          <w:jc w:val="center"/>
        </w:trPr>
        <w:tc>
          <w:tcPr>
            <w:tcW w:w="8969" w:type="dxa"/>
            <w:gridSpan w:val="2"/>
          </w:tcPr>
          <w:p w:rsidR="0009329B" w:rsidRPr="0002452E" w:rsidRDefault="0009329B" w:rsidP="0002452E">
            <w:pPr>
              <w:pStyle w:val="Textosinformato"/>
              <w:spacing w:line="360" w:lineRule="auto"/>
              <w:jc w:val="both"/>
              <w:rPr>
                <w:rFonts w:ascii="Arial" w:hAnsi="Arial" w:cs="Arial"/>
                <w:sz w:val="22"/>
              </w:rPr>
            </w:pPr>
            <w:r w:rsidRPr="0002452E">
              <w:rPr>
                <w:rFonts w:ascii="Arial" w:hAnsi="Arial" w:cs="Arial"/>
                <w:sz w:val="22"/>
                <w:szCs w:val="22"/>
              </w:rPr>
              <w:t xml:space="preserve">Todos los artículos de este texto definitivo provienen del texto original de la Ley </w:t>
            </w:r>
            <w:r w:rsidR="00511DA5" w:rsidRPr="0002452E">
              <w:rPr>
                <w:rFonts w:ascii="Arial" w:hAnsi="Arial" w:cs="Arial"/>
                <w:sz w:val="22"/>
                <w:szCs w:val="22"/>
              </w:rPr>
              <w:t>3</w:t>
            </w:r>
            <w:r w:rsidR="005C1BD5">
              <w:rPr>
                <w:rFonts w:ascii="Arial" w:hAnsi="Arial" w:cs="Arial"/>
                <w:sz w:val="22"/>
                <w:szCs w:val="22"/>
              </w:rPr>
              <w:t>.</w:t>
            </w:r>
            <w:r w:rsidR="00511DA5" w:rsidRPr="0002452E">
              <w:rPr>
                <w:rFonts w:ascii="Arial" w:hAnsi="Arial" w:cs="Arial"/>
                <w:sz w:val="22"/>
                <w:szCs w:val="22"/>
              </w:rPr>
              <w:t>911</w:t>
            </w:r>
            <w:r w:rsidRPr="0002452E">
              <w:rPr>
                <w:rFonts w:ascii="Arial" w:hAnsi="Arial" w:cs="Arial"/>
                <w:sz w:val="22"/>
                <w:szCs w:val="22"/>
              </w:rPr>
              <w:t>.</w:t>
            </w:r>
          </w:p>
        </w:tc>
      </w:tr>
    </w:tbl>
    <w:p w:rsidR="0002452E" w:rsidRDefault="0002452E" w:rsidP="0002452E">
      <w:pPr>
        <w:spacing w:line="360" w:lineRule="auto"/>
        <w:rPr>
          <w:rFonts w:ascii="Arial" w:hAnsi="Arial" w:cs="Arial"/>
          <w:b/>
          <w:sz w:val="22"/>
          <w:szCs w:val="22"/>
        </w:rPr>
      </w:pPr>
    </w:p>
    <w:p w:rsidR="00511DA5" w:rsidRPr="0002452E" w:rsidRDefault="00511DA5" w:rsidP="0002452E">
      <w:pPr>
        <w:spacing w:line="360" w:lineRule="auto"/>
        <w:rPr>
          <w:rFonts w:ascii="Arial" w:hAnsi="Arial" w:cs="Arial"/>
          <w:b/>
          <w:sz w:val="22"/>
          <w:szCs w:val="22"/>
        </w:rPr>
      </w:pPr>
      <w:r w:rsidRPr="0002452E">
        <w:rPr>
          <w:rFonts w:ascii="Arial" w:hAnsi="Arial" w:cs="Arial"/>
          <w:b/>
          <w:sz w:val="22"/>
          <w:szCs w:val="22"/>
        </w:rPr>
        <w:t>Artículos suprimidos</w:t>
      </w:r>
      <w:r w:rsidR="0002452E">
        <w:rPr>
          <w:rFonts w:ascii="Arial" w:hAnsi="Arial" w:cs="Arial"/>
          <w:b/>
          <w:sz w:val="22"/>
          <w:szCs w:val="22"/>
        </w:rPr>
        <w:t>:</w:t>
      </w:r>
    </w:p>
    <w:p w:rsidR="0009329B" w:rsidRDefault="0002452E" w:rsidP="0002452E">
      <w:pPr>
        <w:spacing w:line="360" w:lineRule="auto"/>
        <w:jc w:val="both"/>
        <w:rPr>
          <w:rFonts w:ascii="Arial" w:hAnsi="Arial" w:cs="Arial"/>
          <w:sz w:val="22"/>
          <w:szCs w:val="22"/>
        </w:rPr>
      </w:pPr>
      <w:r>
        <w:rPr>
          <w:rFonts w:ascii="Arial" w:hAnsi="Arial" w:cs="Arial"/>
          <w:b/>
          <w:sz w:val="22"/>
          <w:szCs w:val="22"/>
        </w:rPr>
        <w:t>Anterior art. 11:</w:t>
      </w:r>
      <w:r w:rsidR="00511DA5" w:rsidRPr="0002452E">
        <w:rPr>
          <w:rFonts w:ascii="Arial" w:hAnsi="Arial" w:cs="Arial"/>
          <w:sz w:val="22"/>
          <w:szCs w:val="22"/>
        </w:rPr>
        <w:t xml:space="preserve"> Caducidad por objeto cumplido.</w:t>
      </w:r>
    </w:p>
    <w:p w:rsidR="0002452E" w:rsidRPr="0002452E" w:rsidRDefault="0002452E" w:rsidP="0002452E">
      <w:pPr>
        <w:spacing w:line="360" w:lineRule="auto"/>
        <w:jc w:val="both"/>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02452E" w:rsidTr="003A2640">
        <w:trPr>
          <w:jc w:val="center"/>
        </w:trPr>
        <w:tc>
          <w:tcPr>
            <w:tcW w:w="8969" w:type="dxa"/>
            <w:gridSpan w:val="3"/>
          </w:tcPr>
          <w:p w:rsidR="0009329B" w:rsidRPr="0002452E" w:rsidRDefault="0009329B" w:rsidP="0002452E">
            <w:pPr>
              <w:pStyle w:val="Textosinformato"/>
              <w:spacing w:before="240" w:line="360" w:lineRule="auto"/>
              <w:jc w:val="center"/>
              <w:rPr>
                <w:rFonts w:ascii="Arial" w:hAnsi="Arial" w:cs="Arial"/>
                <w:b/>
                <w:sz w:val="22"/>
              </w:rPr>
            </w:pPr>
            <w:r w:rsidRPr="0002452E">
              <w:rPr>
                <w:rFonts w:ascii="Arial" w:hAnsi="Arial" w:cs="Arial"/>
                <w:b/>
                <w:sz w:val="22"/>
                <w:szCs w:val="22"/>
              </w:rPr>
              <w:t xml:space="preserve">LEY </w:t>
            </w:r>
            <w:r w:rsidR="00511DA5" w:rsidRPr="0002452E">
              <w:rPr>
                <w:rFonts w:ascii="Arial" w:hAnsi="Arial" w:cs="Arial"/>
                <w:b/>
                <w:sz w:val="22"/>
                <w:szCs w:val="22"/>
              </w:rPr>
              <w:t>G</w:t>
            </w:r>
            <w:r w:rsidRPr="0002452E">
              <w:rPr>
                <w:rFonts w:ascii="Arial" w:hAnsi="Arial" w:cs="Arial"/>
                <w:b/>
                <w:sz w:val="22"/>
                <w:szCs w:val="22"/>
              </w:rPr>
              <w:t xml:space="preserve">- N° </w:t>
            </w:r>
            <w:r w:rsidR="00511DA5" w:rsidRPr="0002452E">
              <w:rPr>
                <w:rFonts w:ascii="Arial" w:hAnsi="Arial" w:cs="Arial"/>
                <w:b/>
                <w:sz w:val="22"/>
                <w:szCs w:val="22"/>
              </w:rPr>
              <w:t>3</w:t>
            </w:r>
            <w:r w:rsidR="005C1BD5">
              <w:rPr>
                <w:rFonts w:ascii="Arial" w:hAnsi="Arial" w:cs="Arial"/>
                <w:b/>
                <w:sz w:val="22"/>
                <w:szCs w:val="22"/>
              </w:rPr>
              <w:t>.</w:t>
            </w:r>
            <w:r w:rsidR="00511DA5" w:rsidRPr="0002452E">
              <w:rPr>
                <w:rFonts w:ascii="Arial" w:hAnsi="Arial" w:cs="Arial"/>
                <w:b/>
                <w:sz w:val="22"/>
                <w:szCs w:val="22"/>
              </w:rPr>
              <w:t>911</w:t>
            </w:r>
          </w:p>
          <w:p w:rsidR="0009329B" w:rsidRPr="0002452E" w:rsidRDefault="0009329B" w:rsidP="0002452E">
            <w:pPr>
              <w:pStyle w:val="Textosinformato"/>
              <w:spacing w:line="360" w:lineRule="auto"/>
              <w:jc w:val="center"/>
              <w:rPr>
                <w:rFonts w:ascii="Arial" w:hAnsi="Arial" w:cs="Arial"/>
                <w:sz w:val="22"/>
              </w:rPr>
            </w:pPr>
            <w:r w:rsidRPr="0002452E">
              <w:rPr>
                <w:rFonts w:ascii="Arial" w:hAnsi="Arial" w:cs="Arial"/>
                <w:b/>
                <w:sz w:val="22"/>
                <w:szCs w:val="22"/>
              </w:rPr>
              <w:t>TABLA DE EQUIVALENCIAS</w:t>
            </w:r>
          </w:p>
        </w:tc>
      </w:tr>
      <w:tr w:rsidR="0009329B" w:rsidRPr="0002452E" w:rsidTr="003A2640">
        <w:trPr>
          <w:jc w:val="center"/>
        </w:trPr>
        <w:tc>
          <w:tcPr>
            <w:tcW w:w="3090" w:type="dxa"/>
            <w:vAlign w:val="center"/>
          </w:tcPr>
          <w:p w:rsidR="0009329B" w:rsidRPr="0002452E" w:rsidRDefault="0009329B" w:rsidP="0002452E">
            <w:pPr>
              <w:spacing w:line="360" w:lineRule="auto"/>
              <w:jc w:val="center"/>
              <w:rPr>
                <w:rFonts w:ascii="Arial" w:hAnsi="Arial" w:cs="Arial"/>
                <w:b/>
              </w:rPr>
            </w:pPr>
            <w:r w:rsidRPr="0002452E">
              <w:rPr>
                <w:rFonts w:ascii="Arial" w:hAnsi="Arial" w:cs="Arial"/>
                <w:b/>
                <w:sz w:val="22"/>
                <w:szCs w:val="22"/>
              </w:rPr>
              <w:t>Número de artículo</w:t>
            </w:r>
          </w:p>
          <w:p w:rsidR="0009329B" w:rsidRPr="0002452E" w:rsidRDefault="0009329B" w:rsidP="0002452E">
            <w:pPr>
              <w:spacing w:line="360" w:lineRule="auto"/>
              <w:jc w:val="center"/>
              <w:rPr>
                <w:rFonts w:ascii="Arial" w:hAnsi="Arial" w:cs="Arial"/>
                <w:b/>
              </w:rPr>
            </w:pPr>
            <w:r w:rsidRPr="0002452E">
              <w:rPr>
                <w:rFonts w:ascii="Arial" w:hAnsi="Arial" w:cs="Arial"/>
                <w:b/>
                <w:sz w:val="22"/>
                <w:szCs w:val="22"/>
              </w:rPr>
              <w:lastRenderedPageBreak/>
              <w:t>del Texto Definitivo</w:t>
            </w:r>
          </w:p>
        </w:tc>
        <w:tc>
          <w:tcPr>
            <w:tcW w:w="2850" w:type="dxa"/>
            <w:vAlign w:val="center"/>
          </w:tcPr>
          <w:p w:rsidR="0009329B" w:rsidRPr="0002452E" w:rsidRDefault="0009329B" w:rsidP="0002452E">
            <w:pPr>
              <w:spacing w:line="360" w:lineRule="auto"/>
              <w:jc w:val="center"/>
              <w:rPr>
                <w:rFonts w:ascii="Arial" w:hAnsi="Arial" w:cs="Arial"/>
                <w:b/>
              </w:rPr>
            </w:pPr>
            <w:r w:rsidRPr="0002452E">
              <w:rPr>
                <w:rFonts w:ascii="Arial" w:hAnsi="Arial" w:cs="Arial"/>
                <w:b/>
                <w:sz w:val="22"/>
                <w:szCs w:val="22"/>
              </w:rPr>
              <w:lastRenderedPageBreak/>
              <w:t>Número de artículo</w:t>
            </w:r>
          </w:p>
          <w:p w:rsidR="0009329B" w:rsidRPr="0002452E" w:rsidRDefault="003A2640" w:rsidP="0002452E">
            <w:pPr>
              <w:spacing w:line="360" w:lineRule="auto"/>
              <w:jc w:val="center"/>
              <w:rPr>
                <w:rFonts w:ascii="Arial" w:hAnsi="Arial" w:cs="Arial"/>
                <w:b/>
              </w:rPr>
            </w:pPr>
            <w:r w:rsidRPr="0002452E">
              <w:rPr>
                <w:rFonts w:ascii="Arial" w:hAnsi="Arial" w:cs="Arial"/>
                <w:b/>
                <w:sz w:val="22"/>
                <w:szCs w:val="22"/>
              </w:rPr>
              <w:lastRenderedPageBreak/>
              <w:t xml:space="preserve">del Texto de Referencia (Ley </w:t>
            </w:r>
            <w:r w:rsidR="00511DA5" w:rsidRPr="0002452E">
              <w:rPr>
                <w:rFonts w:ascii="Arial" w:hAnsi="Arial" w:cs="Arial"/>
                <w:b/>
                <w:sz w:val="22"/>
                <w:szCs w:val="22"/>
              </w:rPr>
              <w:t>3</w:t>
            </w:r>
            <w:r w:rsidR="005C1BD5">
              <w:rPr>
                <w:rFonts w:ascii="Arial" w:hAnsi="Arial" w:cs="Arial"/>
                <w:b/>
                <w:sz w:val="22"/>
                <w:szCs w:val="22"/>
              </w:rPr>
              <w:t>.</w:t>
            </w:r>
            <w:r w:rsidR="00511DA5" w:rsidRPr="0002452E">
              <w:rPr>
                <w:rFonts w:ascii="Arial" w:hAnsi="Arial" w:cs="Arial"/>
                <w:b/>
                <w:sz w:val="22"/>
                <w:szCs w:val="22"/>
              </w:rPr>
              <w:t>911</w:t>
            </w:r>
            <w:r w:rsidR="0009329B" w:rsidRPr="0002452E">
              <w:rPr>
                <w:rFonts w:ascii="Arial" w:hAnsi="Arial" w:cs="Arial"/>
                <w:b/>
                <w:sz w:val="22"/>
                <w:szCs w:val="22"/>
              </w:rPr>
              <w:t>)</w:t>
            </w:r>
          </w:p>
        </w:tc>
        <w:tc>
          <w:tcPr>
            <w:tcW w:w="3029" w:type="dxa"/>
            <w:vAlign w:val="center"/>
          </w:tcPr>
          <w:p w:rsidR="0009329B" w:rsidRPr="0002452E" w:rsidRDefault="0009329B" w:rsidP="0002452E">
            <w:pPr>
              <w:spacing w:line="360" w:lineRule="auto"/>
              <w:jc w:val="center"/>
              <w:rPr>
                <w:rFonts w:ascii="Arial" w:hAnsi="Arial" w:cs="Arial"/>
                <w:b/>
              </w:rPr>
            </w:pPr>
            <w:r w:rsidRPr="0002452E">
              <w:rPr>
                <w:rFonts w:ascii="Arial" w:hAnsi="Arial" w:cs="Arial"/>
                <w:b/>
                <w:sz w:val="22"/>
                <w:szCs w:val="22"/>
              </w:rPr>
              <w:lastRenderedPageBreak/>
              <w:t>Observaciones</w:t>
            </w:r>
          </w:p>
        </w:tc>
      </w:tr>
      <w:tr w:rsidR="0009329B" w:rsidRPr="0002452E" w:rsidTr="003A2640">
        <w:trPr>
          <w:jc w:val="center"/>
        </w:trPr>
        <w:tc>
          <w:tcPr>
            <w:tcW w:w="8969" w:type="dxa"/>
            <w:gridSpan w:val="3"/>
          </w:tcPr>
          <w:p w:rsidR="0009329B" w:rsidRPr="0002452E" w:rsidRDefault="0009329B" w:rsidP="0002452E">
            <w:pPr>
              <w:spacing w:line="360" w:lineRule="auto"/>
              <w:jc w:val="center"/>
              <w:rPr>
                <w:rFonts w:ascii="Arial" w:hAnsi="Arial" w:cs="Arial"/>
              </w:rPr>
            </w:pPr>
            <w:r w:rsidRPr="0002452E">
              <w:rPr>
                <w:rFonts w:ascii="Arial" w:hAnsi="Arial" w:cs="Arial"/>
                <w:sz w:val="22"/>
                <w:szCs w:val="22"/>
              </w:rPr>
              <w:lastRenderedPageBreak/>
              <w:t xml:space="preserve">La numeración de los artículos del Texto Definitivo corresponde a la numeración original de la Ley </w:t>
            </w:r>
            <w:r w:rsidR="00511DA5" w:rsidRPr="0002452E">
              <w:rPr>
                <w:rFonts w:ascii="Arial" w:hAnsi="Arial" w:cs="Arial"/>
                <w:sz w:val="22"/>
                <w:szCs w:val="22"/>
              </w:rPr>
              <w:t>3</w:t>
            </w:r>
            <w:r w:rsidR="005C1BD5">
              <w:rPr>
                <w:rFonts w:ascii="Arial" w:hAnsi="Arial" w:cs="Arial"/>
                <w:sz w:val="22"/>
                <w:szCs w:val="22"/>
              </w:rPr>
              <w:t>.</w:t>
            </w:r>
            <w:r w:rsidR="00511DA5" w:rsidRPr="0002452E">
              <w:rPr>
                <w:rFonts w:ascii="Arial" w:hAnsi="Arial" w:cs="Arial"/>
                <w:sz w:val="22"/>
                <w:szCs w:val="22"/>
              </w:rPr>
              <w:t>911</w:t>
            </w:r>
            <w:r w:rsidRPr="0002452E">
              <w:rPr>
                <w:rFonts w:ascii="Arial" w:hAnsi="Arial" w:cs="Arial"/>
                <w:sz w:val="22"/>
                <w:szCs w:val="22"/>
              </w:rPr>
              <w:t>.</w:t>
            </w:r>
          </w:p>
        </w:tc>
      </w:tr>
    </w:tbl>
    <w:p w:rsidR="0009329B" w:rsidRPr="0002452E" w:rsidRDefault="0009329B" w:rsidP="0002452E">
      <w:pPr>
        <w:spacing w:line="360" w:lineRule="auto"/>
        <w:rPr>
          <w:rFonts w:ascii="Arial" w:hAnsi="Arial" w:cs="Arial"/>
          <w:sz w:val="22"/>
          <w:szCs w:val="22"/>
        </w:rPr>
      </w:pPr>
    </w:p>
    <w:p w:rsidR="0009329B" w:rsidRPr="0002452E" w:rsidRDefault="00F914CB" w:rsidP="0002452E">
      <w:pPr>
        <w:spacing w:line="360" w:lineRule="auto"/>
        <w:rPr>
          <w:rFonts w:ascii="Arial" w:hAnsi="Arial" w:cs="Arial"/>
          <w:b/>
          <w:sz w:val="22"/>
          <w:szCs w:val="22"/>
        </w:rPr>
      </w:pPr>
      <w:r w:rsidRPr="0002452E">
        <w:rPr>
          <w:rFonts w:ascii="Arial" w:hAnsi="Arial" w:cs="Arial"/>
          <w:b/>
          <w:sz w:val="22"/>
          <w:szCs w:val="22"/>
          <w:u w:val="single"/>
        </w:rPr>
        <w:t>Observaciones Generales</w:t>
      </w:r>
      <w:r w:rsidRPr="0002452E">
        <w:rPr>
          <w:rFonts w:ascii="Arial" w:hAnsi="Arial" w:cs="Arial"/>
          <w:b/>
          <w:sz w:val="22"/>
          <w:szCs w:val="22"/>
        </w:rPr>
        <w:t>:</w:t>
      </w:r>
    </w:p>
    <w:p w:rsidR="00265142" w:rsidRPr="0002452E" w:rsidRDefault="00AB4F21" w:rsidP="0002452E">
      <w:pPr>
        <w:pStyle w:val="Prrafodelista"/>
        <w:numPr>
          <w:ilvl w:val="0"/>
          <w:numId w:val="1"/>
        </w:numPr>
        <w:spacing w:line="360" w:lineRule="auto"/>
        <w:ind w:left="567" w:hanging="567"/>
        <w:jc w:val="both"/>
        <w:rPr>
          <w:rFonts w:ascii="Arial" w:hAnsi="Arial" w:cs="Arial"/>
          <w:sz w:val="22"/>
          <w:szCs w:val="22"/>
        </w:rPr>
      </w:pPr>
      <w:r w:rsidRPr="0002452E">
        <w:rPr>
          <w:rFonts w:ascii="Arial" w:hAnsi="Arial" w:cs="Arial"/>
          <w:sz w:val="22"/>
          <w:szCs w:val="22"/>
        </w:rPr>
        <w:t>A</w:t>
      </w:r>
      <w:r w:rsidR="00511DA5" w:rsidRPr="0002452E">
        <w:rPr>
          <w:rFonts w:ascii="Arial" w:hAnsi="Arial" w:cs="Arial"/>
          <w:sz w:val="22"/>
          <w:szCs w:val="22"/>
        </w:rPr>
        <w:t>rtículo 11</w:t>
      </w:r>
      <w:r w:rsidRPr="0002452E">
        <w:rPr>
          <w:rFonts w:ascii="Arial" w:hAnsi="Arial" w:cs="Arial"/>
          <w:sz w:val="22"/>
          <w:szCs w:val="22"/>
        </w:rPr>
        <w:t xml:space="preserve">: </w:t>
      </w:r>
      <w:r w:rsidRPr="0002452E">
        <w:rPr>
          <w:rStyle w:val="Textoennegrita"/>
          <w:rFonts w:ascii="Arial" w:hAnsi="Arial" w:cs="Arial"/>
          <w:b w:val="0"/>
          <w:color w:val="000000"/>
          <w:sz w:val="22"/>
          <w:szCs w:val="22"/>
          <w:shd w:val="clear" w:color="auto" w:fill="FFFFFF"/>
        </w:rPr>
        <w:t>Disponía que</w:t>
      </w:r>
      <w:r w:rsidRPr="0002452E">
        <w:rPr>
          <w:rFonts w:ascii="Arial" w:hAnsi="Arial" w:cs="Arial"/>
          <w:color w:val="000000"/>
          <w:sz w:val="22"/>
          <w:szCs w:val="22"/>
          <w:shd w:val="clear" w:color="auto" w:fill="FFFFFF"/>
        </w:rPr>
        <w:t xml:space="preserve">la norma reglamentaria debía establecerá la composición definitiva de La Comisión, pudiendo delegar en esta la redacción de un reglamento interno. </w:t>
      </w:r>
      <w:r w:rsidRPr="0002452E">
        <w:rPr>
          <w:rFonts w:ascii="Arial" w:hAnsi="Arial" w:cs="Arial"/>
          <w:sz w:val="22"/>
          <w:szCs w:val="22"/>
        </w:rPr>
        <w:t xml:space="preserve">La Ley </w:t>
      </w:r>
      <w:r w:rsidR="00511DA5" w:rsidRPr="0002452E">
        <w:rPr>
          <w:rFonts w:ascii="Arial" w:hAnsi="Arial" w:cs="Arial"/>
          <w:sz w:val="22"/>
          <w:szCs w:val="22"/>
        </w:rPr>
        <w:t xml:space="preserve"> fue reglamentada por el Decreto N° </w:t>
      </w:r>
      <w:r w:rsidR="00C408A1" w:rsidRPr="0002452E">
        <w:rPr>
          <w:rFonts w:ascii="Arial" w:hAnsi="Arial" w:cs="Arial"/>
          <w:sz w:val="22"/>
          <w:szCs w:val="22"/>
        </w:rPr>
        <w:t>78/</w:t>
      </w:r>
      <w:r w:rsidR="00511DA5" w:rsidRPr="0002452E">
        <w:rPr>
          <w:rFonts w:ascii="Arial" w:hAnsi="Arial" w:cs="Arial"/>
          <w:sz w:val="22"/>
          <w:szCs w:val="22"/>
        </w:rPr>
        <w:t>2013.</w:t>
      </w:r>
      <w:bookmarkStart w:id="0" w:name="_GoBack"/>
      <w:bookmarkEnd w:id="0"/>
    </w:p>
    <w:p w:rsidR="00C408A1" w:rsidRPr="0002452E" w:rsidRDefault="00C408A1" w:rsidP="0002452E">
      <w:pPr>
        <w:pStyle w:val="Prrafodelista"/>
        <w:numPr>
          <w:ilvl w:val="0"/>
          <w:numId w:val="1"/>
        </w:numPr>
        <w:spacing w:line="360" w:lineRule="auto"/>
        <w:ind w:left="567" w:hanging="567"/>
        <w:jc w:val="both"/>
        <w:rPr>
          <w:rFonts w:ascii="Arial" w:hAnsi="Arial" w:cs="Arial"/>
          <w:sz w:val="22"/>
          <w:szCs w:val="22"/>
        </w:rPr>
      </w:pPr>
      <w:r w:rsidRPr="0002452E">
        <w:rPr>
          <w:rFonts w:ascii="Arial" w:hAnsi="Arial" w:cs="Arial"/>
          <w:sz w:val="22"/>
          <w:szCs w:val="22"/>
        </w:rPr>
        <w:t># La presente Norma contiene remisiones externas #</w:t>
      </w:r>
    </w:p>
    <w:sectPr w:rsidR="00C408A1" w:rsidRPr="0002452E" w:rsidSect="0002452E">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3737C6"/>
    <w:multiLevelType w:val="hybridMultilevel"/>
    <w:tmpl w:val="34F615B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DB67370"/>
    <w:multiLevelType w:val="hybridMultilevel"/>
    <w:tmpl w:val="62ACD73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221E20EC"/>
    <w:multiLevelType w:val="hybridMultilevel"/>
    <w:tmpl w:val="0AFA9330"/>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419D6696"/>
    <w:multiLevelType w:val="hybridMultilevel"/>
    <w:tmpl w:val="9050AF5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593F0496"/>
    <w:multiLevelType w:val="hybridMultilevel"/>
    <w:tmpl w:val="28A4609E"/>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5FF20A4B"/>
    <w:multiLevelType w:val="hybridMultilevel"/>
    <w:tmpl w:val="334E95D2"/>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705A720B"/>
    <w:multiLevelType w:val="hybridMultilevel"/>
    <w:tmpl w:val="939C758A"/>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4"/>
  </w:num>
  <w:num w:numId="5">
    <w:abstractNumId w:val="6"/>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2452E"/>
    <w:rsid w:val="000919A6"/>
    <w:rsid w:val="0009329B"/>
    <w:rsid w:val="000B7820"/>
    <w:rsid w:val="00265142"/>
    <w:rsid w:val="002B476A"/>
    <w:rsid w:val="002D2DC8"/>
    <w:rsid w:val="00333DA6"/>
    <w:rsid w:val="003A2640"/>
    <w:rsid w:val="004A7641"/>
    <w:rsid w:val="00511DA5"/>
    <w:rsid w:val="005C0D00"/>
    <w:rsid w:val="005C1BD5"/>
    <w:rsid w:val="005D403A"/>
    <w:rsid w:val="006506AC"/>
    <w:rsid w:val="006B1B39"/>
    <w:rsid w:val="00793905"/>
    <w:rsid w:val="00802DBE"/>
    <w:rsid w:val="00A476C0"/>
    <w:rsid w:val="00AB4F21"/>
    <w:rsid w:val="00BF0F88"/>
    <w:rsid w:val="00C408A1"/>
    <w:rsid w:val="00C67C06"/>
    <w:rsid w:val="00F76F73"/>
    <w:rsid w:val="00F914CB"/>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character" w:styleId="Textoennegrita">
    <w:name w:val="Strong"/>
    <w:basedOn w:val="Fuentedeprrafopredeter"/>
    <w:uiPriority w:val="22"/>
    <w:qFormat/>
    <w:rsid w:val="00AB4F21"/>
    <w:rPr>
      <w:b/>
      <w:bCs/>
    </w:rPr>
  </w:style>
  <w:style w:type="character" w:customStyle="1" w:styleId="apple-converted-space">
    <w:name w:val="apple-converted-space"/>
    <w:basedOn w:val="Fuentedeprrafopredeter"/>
    <w:rsid w:val="00AB4F21"/>
  </w:style>
  <w:style w:type="paragraph" w:styleId="Prrafodelista">
    <w:name w:val="List Paragraph"/>
    <w:basedOn w:val="Normal"/>
    <w:uiPriority w:val="34"/>
    <w:qFormat/>
    <w:rsid w:val="0026514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4</Pages>
  <Words>1123</Words>
  <Characters>6181</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dcterms:created xsi:type="dcterms:W3CDTF">2014-09-03T18:46:00Z</dcterms:created>
  <dcterms:modified xsi:type="dcterms:W3CDTF">2015-09-28T19:29:00Z</dcterms:modified>
</cp:coreProperties>
</file>