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D252B9" w:rsidRDefault="007412C3" w:rsidP="00D252B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252B9">
        <w:rPr>
          <w:rFonts w:ascii="Arial" w:hAnsi="Arial" w:cs="Arial"/>
          <w:b/>
          <w:sz w:val="22"/>
          <w:szCs w:val="22"/>
        </w:rPr>
        <w:t>LC-3860</w:t>
      </w:r>
    </w:p>
    <w:p w:rsidR="00D252B9" w:rsidRDefault="00D252B9" w:rsidP="00D252B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252B9" w:rsidRPr="00D252B9" w:rsidRDefault="006A6829" w:rsidP="00D252B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A6829">
        <w:rPr>
          <w:rFonts w:ascii="Arial" w:hAnsi="Arial" w:cs="Arial"/>
          <w:b/>
          <w:sz w:val="22"/>
          <w:szCs w:val="22"/>
        </w:rPr>
        <w:t>LEY G - N° 3.860</w:t>
      </w:r>
    </w:p>
    <w:p w:rsidR="00D252B9" w:rsidRDefault="00D252B9" w:rsidP="00D252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412C3" w:rsidRPr="00D252B9" w:rsidRDefault="007412C3" w:rsidP="00D252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52B9">
        <w:rPr>
          <w:rFonts w:ascii="Arial" w:hAnsi="Arial" w:cs="Arial"/>
          <w:sz w:val="22"/>
          <w:szCs w:val="22"/>
        </w:rPr>
        <w:t>Artículo 1°.- Declarase Bien Cultural de la Ciudad de Buenos Aires según lo establecido en la Ley 1227 # Art. 4 inc. b) “Monumento” a la Torre Espacial del Parque de la Ciudad.</w:t>
      </w:r>
    </w:p>
    <w:p w:rsidR="0009329B" w:rsidRPr="00D252B9" w:rsidRDefault="0009329B" w:rsidP="00D252B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252B9" w:rsidTr="003A2640">
        <w:trPr>
          <w:jc w:val="center"/>
        </w:trPr>
        <w:tc>
          <w:tcPr>
            <w:tcW w:w="8969" w:type="dxa"/>
            <w:gridSpan w:val="2"/>
          </w:tcPr>
          <w:p w:rsidR="0009329B" w:rsidRPr="00D252B9" w:rsidRDefault="0009329B" w:rsidP="00D252B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252B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412C3" w:rsidRPr="00D252B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D252B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412C3" w:rsidRPr="00D252B9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A682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412C3" w:rsidRPr="00D252B9">
              <w:rPr>
                <w:rFonts w:ascii="Arial" w:hAnsi="Arial" w:cs="Arial"/>
                <w:b/>
                <w:sz w:val="22"/>
                <w:szCs w:val="22"/>
              </w:rPr>
              <w:t>860</w:t>
            </w:r>
          </w:p>
          <w:p w:rsidR="0009329B" w:rsidRPr="00D252B9" w:rsidRDefault="0009329B" w:rsidP="00D252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252B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252B9" w:rsidTr="003A2640">
        <w:trPr>
          <w:jc w:val="center"/>
        </w:trPr>
        <w:tc>
          <w:tcPr>
            <w:tcW w:w="3780" w:type="dxa"/>
            <w:vAlign w:val="center"/>
          </w:tcPr>
          <w:p w:rsidR="0009329B" w:rsidRPr="00D252B9" w:rsidRDefault="0009329B" w:rsidP="00D252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252B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D252B9" w:rsidRDefault="0009329B" w:rsidP="00D252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252B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252B9" w:rsidRDefault="0009329B" w:rsidP="00D252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252B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252B9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D252B9" w:rsidRDefault="0009329B" w:rsidP="00D252B9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D252B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7412C3" w:rsidRPr="00D252B9">
              <w:rPr>
                <w:rFonts w:ascii="Arial" w:hAnsi="Arial" w:cs="Arial"/>
                <w:sz w:val="22"/>
                <w:szCs w:val="22"/>
              </w:rPr>
              <w:t>3</w:t>
            </w:r>
            <w:r w:rsidR="006A6829">
              <w:rPr>
                <w:rFonts w:ascii="Arial" w:hAnsi="Arial" w:cs="Arial"/>
                <w:sz w:val="22"/>
                <w:szCs w:val="22"/>
              </w:rPr>
              <w:t>.</w:t>
            </w:r>
            <w:r w:rsidR="007412C3" w:rsidRPr="00D252B9">
              <w:rPr>
                <w:rFonts w:ascii="Arial" w:hAnsi="Arial" w:cs="Arial"/>
                <w:sz w:val="22"/>
                <w:szCs w:val="22"/>
              </w:rPr>
              <w:t>860</w:t>
            </w:r>
            <w:r w:rsidRPr="00D252B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252B9" w:rsidRDefault="0009329B" w:rsidP="00D252B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252B9" w:rsidTr="003A2640">
        <w:trPr>
          <w:jc w:val="center"/>
        </w:trPr>
        <w:tc>
          <w:tcPr>
            <w:tcW w:w="8969" w:type="dxa"/>
            <w:gridSpan w:val="3"/>
          </w:tcPr>
          <w:p w:rsidR="0009329B" w:rsidRPr="00D252B9" w:rsidRDefault="0009329B" w:rsidP="00D252B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D252B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412C3" w:rsidRPr="00D252B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D252B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412C3" w:rsidRPr="00D252B9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A682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412C3" w:rsidRPr="00D252B9">
              <w:rPr>
                <w:rFonts w:ascii="Arial" w:hAnsi="Arial" w:cs="Arial"/>
                <w:b/>
                <w:sz w:val="22"/>
                <w:szCs w:val="22"/>
              </w:rPr>
              <w:t>860</w:t>
            </w:r>
          </w:p>
          <w:p w:rsidR="0009329B" w:rsidRPr="00D252B9" w:rsidRDefault="0009329B" w:rsidP="00D252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252B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252B9" w:rsidTr="003A2640">
        <w:trPr>
          <w:jc w:val="center"/>
        </w:trPr>
        <w:tc>
          <w:tcPr>
            <w:tcW w:w="3090" w:type="dxa"/>
            <w:vAlign w:val="center"/>
          </w:tcPr>
          <w:p w:rsidR="0009329B" w:rsidRPr="00D252B9" w:rsidRDefault="0009329B" w:rsidP="00D252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252B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252B9" w:rsidRDefault="0009329B" w:rsidP="00D252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252B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252B9" w:rsidRDefault="0009329B" w:rsidP="00D252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252B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252B9" w:rsidRDefault="003A2640" w:rsidP="00D252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252B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7412C3" w:rsidRPr="00D252B9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A682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412C3" w:rsidRPr="00D252B9">
              <w:rPr>
                <w:rFonts w:ascii="Arial" w:hAnsi="Arial" w:cs="Arial"/>
                <w:b/>
                <w:sz w:val="22"/>
                <w:szCs w:val="22"/>
              </w:rPr>
              <w:t>860</w:t>
            </w:r>
            <w:r w:rsidR="0009329B" w:rsidRPr="00D252B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252B9" w:rsidRDefault="0009329B" w:rsidP="00D252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252B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252B9" w:rsidTr="003A2640">
        <w:trPr>
          <w:jc w:val="center"/>
        </w:trPr>
        <w:tc>
          <w:tcPr>
            <w:tcW w:w="8969" w:type="dxa"/>
            <w:gridSpan w:val="3"/>
          </w:tcPr>
          <w:p w:rsidR="0009329B" w:rsidRPr="00D252B9" w:rsidRDefault="0009329B" w:rsidP="00D252B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252B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412C3" w:rsidRPr="00D252B9">
              <w:rPr>
                <w:rFonts w:ascii="Arial" w:hAnsi="Arial" w:cs="Arial"/>
                <w:sz w:val="22"/>
                <w:szCs w:val="22"/>
              </w:rPr>
              <w:t>3</w:t>
            </w:r>
            <w:r w:rsidR="006A6829">
              <w:rPr>
                <w:rFonts w:ascii="Arial" w:hAnsi="Arial" w:cs="Arial"/>
                <w:sz w:val="22"/>
                <w:szCs w:val="22"/>
              </w:rPr>
              <w:t>.</w:t>
            </w:r>
            <w:r w:rsidR="007412C3" w:rsidRPr="00D252B9">
              <w:rPr>
                <w:rFonts w:ascii="Arial" w:hAnsi="Arial" w:cs="Arial"/>
                <w:sz w:val="22"/>
                <w:szCs w:val="22"/>
              </w:rPr>
              <w:t>860</w:t>
            </w:r>
            <w:r w:rsidRPr="00D252B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252B9" w:rsidRDefault="0009329B" w:rsidP="00D252B9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D252B9" w:rsidRDefault="00F914CB" w:rsidP="00D252B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252B9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D252B9">
        <w:rPr>
          <w:rFonts w:ascii="Arial" w:hAnsi="Arial" w:cs="Arial"/>
          <w:b/>
          <w:sz w:val="22"/>
          <w:szCs w:val="22"/>
        </w:rPr>
        <w:t>:</w:t>
      </w:r>
    </w:p>
    <w:p w:rsidR="007412C3" w:rsidRPr="00D252B9" w:rsidRDefault="007412C3" w:rsidP="00D252B9">
      <w:pPr>
        <w:spacing w:line="360" w:lineRule="auto"/>
        <w:rPr>
          <w:rFonts w:ascii="Arial" w:hAnsi="Arial" w:cs="Arial"/>
          <w:sz w:val="22"/>
          <w:szCs w:val="22"/>
        </w:rPr>
      </w:pPr>
      <w:r w:rsidRPr="00D252B9">
        <w:rPr>
          <w:rFonts w:ascii="Arial" w:hAnsi="Arial"/>
          <w:sz w:val="22"/>
          <w:szCs w:val="22"/>
        </w:rPr>
        <w:t># La presente Norma contiene remisiones externas #</w:t>
      </w:r>
    </w:p>
    <w:sectPr w:rsidR="007412C3" w:rsidRPr="00D252B9" w:rsidSect="00D252B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162F5E"/>
    <w:rsid w:val="002B476A"/>
    <w:rsid w:val="002D2DC8"/>
    <w:rsid w:val="00333DA6"/>
    <w:rsid w:val="003A2640"/>
    <w:rsid w:val="004A7641"/>
    <w:rsid w:val="005C0D00"/>
    <w:rsid w:val="005D403A"/>
    <w:rsid w:val="006506AC"/>
    <w:rsid w:val="006A6829"/>
    <w:rsid w:val="006B1B39"/>
    <w:rsid w:val="007412C3"/>
    <w:rsid w:val="00A476C0"/>
    <w:rsid w:val="00B201ED"/>
    <w:rsid w:val="00BF0F88"/>
    <w:rsid w:val="00C67C06"/>
    <w:rsid w:val="00D252B9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2015-09-28T19:19:00Z</dcterms:modified>
</cp:coreProperties>
</file>