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D27B98" w:rsidRDefault="00D93C56" w:rsidP="00D27B9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27B98">
        <w:rPr>
          <w:rFonts w:ascii="Arial" w:hAnsi="Arial" w:cs="Arial"/>
          <w:b/>
          <w:sz w:val="22"/>
          <w:szCs w:val="22"/>
        </w:rPr>
        <w:t>LC-3819</w:t>
      </w:r>
    </w:p>
    <w:p w:rsidR="00D27B98" w:rsidRDefault="00D27B98" w:rsidP="00D27B9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B9115C" w:rsidP="00D27B9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9115C">
        <w:rPr>
          <w:rFonts w:ascii="Arial" w:hAnsi="Arial" w:cs="Arial"/>
          <w:b/>
          <w:sz w:val="22"/>
          <w:szCs w:val="22"/>
        </w:rPr>
        <w:t>LEY G - N° 3.819</w:t>
      </w:r>
    </w:p>
    <w:p w:rsidR="00D27B98" w:rsidRPr="00D27B98" w:rsidRDefault="00D27B98" w:rsidP="00D27B9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93C56" w:rsidRPr="00D27B98" w:rsidRDefault="00D93C56" w:rsidP="00D27B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B98">
        <w:rPr>
          <w:rFonts w:ascii="Arial" w:hAnsi="Arial" w:cs="Arial"/>
          <w:sz w:val="22"/>
          <w:szCs w:val="22"/>
        </w:rPr>
        <w:t>Artículo 1°.- Declárase Monumento Histórico de acuerdo con la Ley 1.227 #, Art. 4°, inciso b) al edificio que ocupa la Sede Central de la Federación de Círculos Católicos de Obreros sita en Junín 1063.</w:t>
      </w:r>
    </w:p>
    <w:p w:rsidR="0009329B" w:rsidRPr="00D27B98" w:rsidRDefault="0009329B" w:rsidP="00D27B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27B98" w:rsidTr="003A2640">
        <w:trPr>
          <w:jc w:val="center"/>
        </w:trPr>
        <w:tc>
          <w:tcPr>
            <w:tcW w:w="8969" w:type="dxa"/>
            <w:gridSpan w:val="2"/>
          </w:tcPr>
          <w:p w:rsidR="0009329B" w:rsidRPr="00D27B98" w:rsidRDefault="0009329B" w:rsidP="00D27B9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93C56" w:rsidRPr="00D27B9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D27B9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93C56" w:rsidRPr="00D27B9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D27B9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3C56" w:rsidRPr="00D27B98">
              <w:rPr>
                <w:rFonts w:ascii="Arial" w:hAnsi="Arial" w:cs="Arial"/>
                <w:b/>
                <w:sz w:val="22"/>
                <w:szCs w:val="22"/>
              </w:rPr>
              <w:t>819</w:t>
            </w:r>
          </w:p>
          <w:p w:rsidR="0009329B" w:rsidRPr="00D27B98" w:rsidRDefault="0009329B" w:rsidP="00D27B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27B98" w:rsidTr="003A2640">
        <w:trPr>
          <w:jc w:val="center"/>
        </w:trPr>
        <w:tc>
          <w:tcPr>
            <w:tcW w:w="3780" w:type="dxa"/>
            <w:vAlign w:val="center"/>
          </w:tcPr>
          <w:p w:rsidR="0009329B" w:rsidRPr="00D27B98" w:rsidRDefault="0009329B" w:rsidP="00D27B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27B98" w:rsidRDefault="0009329B" w:rsidP="00D27B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27B98" w:rsidRDefault="0009329B" w:rsidP="00D27B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27B9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27B98" w:rsidRDefault="0009329B" w:rsidP="00D27B9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D27B9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93C56" w:rsidRPr="00D27B98">
              <w:rPr>
                <w:rFonts w:ascii="Arial" w:hAnsi="Arial" w:cs="Arial"/>
                <w:sz w:val="22"/>
                <w:szCs w:val="22"/>
              </w:rPr>
              <w:t>3</w:t>
            </w:r>
            <w:r w:rsidR="00B9115C">
              <w:rPr>
                <w:rFonts w:ascii="Arial" w:hAnsi="Arial" w:cs="Arial"/>
                <w:sz w:val="22"/>
                <w:szCs w:val="22"/>
              </w:rPr>
              <w:t>.</w:t>
            </w:r>
            <w:r w:rsidR="00D93C56" w:rsidRPr="00D27B98">
              <w:rPr>
                <w:rFonts w:ascii="Arial" w:hAnsi="Arial" w:cs="Arial"/>
                <w:sz w:val="22"/>
                <w:szCs w:val="22"/>
              </w:rPr>
              <w:t>819</w:t>
            </w:r>
            <w:r w:rsidRPr="00D27B9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27B98" w:rsidRDefault="0009329B" w:rsidP="00D27B9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27B98" w:rsidTr="003A2640">
        <w:trPr>
          <w:jc w:val="center"/>
        </w:trPr>
        <w:tc>
          <w:tcPr>
            <w:tcW w:w="8969" w:type="dxa"/>
            <w:gridSpan w:val="3"/>
          </w:tcPr>
          <w:p w:rsidR="0009329B" w:rsidRPr="00D27B98" w:rsidRDefault="0009329B" w:rsidP="00D27B9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D27B9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93C56" w:rsidRPr="00D27B9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D27B9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93C56" w:rsidRPr="00D27B9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D27B9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3C56" w:rsidRPr="00D27B98">
              <w:rPr>
                <w:rFonts w:ascii="Arial" w:hAnsi="Arial" w:cs="Arial"/>
                <w:b/>
                <w:sz w:val="22"/>
                <w:szCs w:val="22"/>
              </w:rPr>
              <w:t>819</w:t>
            </w:r>
          </w:p>
          <w:p w:rsidR="0009329B" w:rsidRPr="00D27B98" w:rsidRDefault="0009329B" w:rsidP="00D27B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27B98" w:rsidTr="003A2640">
        <w:trPr>
          <w:jc w:val="center"/>
        </w:trPr>
        <w:tc>
          <w:tcPr>
            <w:tcW w:w="3090" w:type="dxa"/>
            <w:vAlign w:val="center"/>
          </w:tcPr>
          <w:p w:rsidR="0009329B" w:rsidRPr="00D27B98" w:rsidRDefault="0009329B" w:rsidP="00D27B9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27B98" w:rsidRDefault="0009329B" w:rsidP="00D27B9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27B98" w:rsidRDefault="0009329B" w:rsidP="00D27B9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27B98" w:rsidRDefault="003A2640" w:rsidP="00D27B9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93C56" w:rsidRPr="00D27B9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9115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3C56" w:rsidRPr="00D27B98">
              <w:rPr>
                <w:rFonts w:ascii="Arial" w:hAnsi="Arial" w:cs="Arial"/>
                <w:b/>
                <w:sz w:val="22"/>
                <w:szCs w:val="22"/>
              </w:rPr>
              <w:t>819</w:t>
            </w:r>
            <w:r w:rsidR="0009329B" w:rsidRPr="00D27B9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27B98" w:rsidRDefault="0009329B" w:rsidP="00D27B9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7B9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27B98" w:rsidTr="003A2640">
        <w:trPr>
          <w:jc w:val="center"/>
        </w:trPr>
        <w:tc>
          <w:tcPr>
            <w:tcW w:w="8969" w:type="dxa"/>
            <w:gridSpan w:val="3"/>
          </w:tcPr>
          <w:p w:rsidR="0009329B" w:rsidRPr="00D27B98" w:rsidRDefault="0009329B" w:rsidP="00D27B9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27B9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93C56" w:rsidRPr="00D27B98">
              <w:rPr>
                <w:rFonts w:ascii="Arial" w:hAnsi="Arial" w:cs="Arial"/>
                <w:sz w:val="22"/>
                <w:szCs w:val="22"/>
              </w:rPr>
              <w:t>3</w:t>
            </w:r>
            <w:r w:rsidR="00B9115C">
              <w:rPr>
                <w:rFonts w:ascii="Arial" w:hAnsi="Arial" w:cs="Arial"/>
                <w:sz w:val="22"/>
                <w:szCs w:val="22"/>
              </w:rPr>
              <w:t>.</w:t>
            </w:r>
            <w:r w:rsidR="00D93C56" w:rsidRPr="00D27B98">
              <w:rPr>
                <w:rFonts w:ascii="Arial" w:hAnsi="Arial" w:cs="Arial"/>
                <w:sz w:val="22"/>
                <w:szCs w:val="22"/>
              </w:rPr>
              <w:t>819</w:t>
            </w:r>
            <w:r w:rsidRPr="00D27B9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27B98" w:rsidRDefault="0009329B" w:rsidP="00D27B9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27B98" w:rsidRDefault="00F914CB" w:rsidP="00D27B9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27B9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27B98">
        <w:rPr>
          <w:rFonts w:ascii="Arial" w:hAnsi="Arial" w:cs="Arial"/>
          <w:b/>
          <w:sz w:val="22"/>
          <w:szCs w:val="22"/>
        </w:rPr>
        <w:t>:</w:t>
      </w:r>
    </w:p>
    <w:p w:rsidR="00D93C56" w:rsidRPr="00D27B98" w:rsidRDefault="00D93C56" w:rsidP="00D27B98">
      <w:pPr>
        <w:spacing w:line="360" w:lineRule="auto"/>
        <w:rPr>
          <w:rFonts w:ascii="Arial" w:hAnsi="Arial" w:cs="Arial"/>
          <w:sz w:val="22"/>
          <w:szCs w:val="22"/>
        </w:rPr>
      </w:pPr>
      <w:r w:rsidRPr="00D27B98">
        <w:rPr>
          <w:rFonts w:ascii="Arial" w:hAnsi="Arial"/>
          <w:sz w:val="22"/>
          <w:szCs w:val="22"/>
        </w:rPr>
        <w:t># La presente Norma contiene remisiones externas #</w:t>
      </w:r>
    </w:p>
    <w:sectPr w:rsidR="00D93C56" w:rsidRPr="00D27B98" w:rsidSect="00D27B9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2F565D"/>
    <w:rsid w:val="00333DA6"/>
    <w:rsid w:val="003A2640"/>
    <w:rsid w:val="004A7641"/>
    <w:rsid w:val="005C0D00"/>
    <w:rsid w:val="005D403A"/>
    <w:rsid w:val="006506AC"/>
    <w:rsid w:val="006B1B39"/>
    <w:rsid w:val="00802E1E"/>
    <w:rsid w:val="00A476C0"/>
    <w:rsid w:val="00B9115C"/>
    <w:rsid w:val="00BF0F88"/>
    <w:rsid w:val="00C67C06"/>
    <w:rsid w:val="00D27B98"/>
    <w:rsid w:val="00D93C5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2015-09-28T19:15:00Z</dcterms:modified>
</cp:coreProperties>
</file>