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FB7C59" w:rsidP="004B60C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B60C6">
        <w:rPr>
          <w:rFonts w:ascii="Arial" w:hAnsi="Arial" w:cs="Arial"/>
          <w:b/>
          <w:sz w:val="22"/>
          <w:szCs w:val="22"/>
        </w:rPr>
        <w:t>LC-3671</w:t>
      </w:r>
    </w:p>
    <w:p w:rsidR="004B60C6" w:rsidRPr="004B60C6" w:rsidRDefault="004B60C6" w:rsidP="004B60C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B60C6" w:rsidRPr="004B60C6" w:rsidRDefault="00F45CF9" w:rsidP="004B60C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45CF9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F45CF9">
        <w:rPr>
          <w:rFonts w:ascii="Arial" w:hAnsi="Arial" w:cs="Arial"/>
          <w:b/>
          <w:sz w:val="22"/>
          <w:szCs w:val="22"/>
        </w:rPr>
        <w:t>671</w:t>
      </w:r>
    </w:p>
    <w:p w:rsidR="004B60C6" w:rsidRDefault="004B60C6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B7C59" w:rsidRPr="004B60C6" w:rsidRDefault="00FB7C59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60C6">
        <w:rPr>
          <w:rFonts w:ascii="Arial" w:hAnsi="Arial" w:cs="Arial"/>
          <w:sz w:val="22"/>
          <w:szCs w:val="22"/>
        </w:rPr>
        <w:t xml:space="preserve">Artículo 1º.- Las niñas, niños y adolescentes que habitan en hogares para niñas, niños y adolescentes en el ámbito de la Ciudad Autónoma de Buenos Aires o en instituciones de albergue con sede en otras jurisdicciones que tengan convenio con el Gobierno de la Ciudad Autónoma de Buenos Aires tendrán acceso gratuito a los espectáculos públicos de carácter recreativo y artístico-cultural que realice y/o auspicie el Gobierno de la Ciudad Autónoma de Buenos Aires. </w:t>
      </w:r>
    </w:p>
    <w:p w:rsidR="004B60C6" w:rsidRDefault="004B60C6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B7C59" w:rsidRPr="004B60C6" w:rsidRDefault="00FB7C59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60C6">
        <w:rPr>
          <w:rFonts w:ascii="Arial" w:hAnsi="Arial" w:cs="Arial"/>
          <w:sz w:val="22"/>
          <w:szCs w:val="22"/>
        </w:rPr>
        <w:t xml:space="preserve">Artículo 2º.- La autoridad de aplicación de la presente ley es el Ministerio de Cultura del Gobierno de la Ciudad Autónoma de Buenos Aires, o el organismo que en el futuro lo reemplace. </w:t>
      </w:r>
    </w:p>
    <w:p w:rsidR="004B60C6" w:rsidRDefault="004B60C6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B7C59" w:rsidRPr="004B60C6" w:rsidRDefault="00FB7C59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60C6">
        <w:rPr>
          <w:rFonts w:ascii="Arial" w:hAnsi="Arial" w:cs="Arial"/>
          <w:sz w:val="22"/>
          <w:szCs w:val="22"/>
        </w:rPr>
        <w:t>Artículo 3º.- Para acceder a los beneficios de este régimen, el hogar para niñas, niños y adolescentes deberá requerir las entradas ante las autoridades de la sala u organismo con antelación. La autoridad de aplicación deberá garantizar el acceso al espectáculo en tiempo y forma.</w:t>
      </w:r>
    </w:p>
    <w:p w:rsidR="004B60C6" w:rsidRDefault="004B60C6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B7C59" w:rsidRPr="004B60C6" w:rsidRDefault="00FB7C59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60C6">
        <w:rPr>
          <w:rFonts w:ascii="Arial" w:hAnsi="Arial" w:cs="Arial"/>
          <w:sz w:val="22"/>
          <w:szCs w:val="22"/>
        </w:rPr>
        <w:t>Artículo 4º.- Las salas u organismos deben proveer, asimismo, las entradas para los/las operadores/as que, en ejercicio de sus funciones, acompañen a las niñas, niños y adolescentes. La cantidad de operadores/as acompañantes debe ser, como mínimo, una (1) persona adulta cada cinco (5) niños/as y/o adolescentes y nunca podrá ser menor que dos (2) personas adultas.</w:t>
      </w:r>
    </w:p>
    <w:p w:rsidR="004B60C6" w:rsidRDefault="004B60C6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4B60C6" w:rsidRDefault="00FB7C59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60C6">
        <w:rPr>
          <w:rFonts w:ascii="Arial" w:hAnsi="Arial" w:cs="Arial"/>
          <w:sz w:val="22"/>
          <w:szCs w:val="22"/>
        </w:rPr>
        <w:t>Artículo 5º.- La autoridad de aplicación notificará en forma mensual a los Hogares para niños, niñas y adolescentes alcanzados por la presente ley acerca de la programación de espectáculos públicos de carácter recreativo y artístico-cultural que realice y/o auspicie el Gobierno de la Ciudad Autónoma de Buenos Aires.</w:t>
      </w:r>
    </w:p>
    <w:p w:rsidR="00FB7C59" w:rsidRPr="004B60C6" w:rsidRDefault="00FB7C59" w:rsidP="004B60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B60C6" w:rsidTr="004B60C6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4B60C6" w:rsidRDefault="0009329B" w:rsidP="004B60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B60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B60C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45CF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671</w:t>
            </w:r>
          </w:p>
          <w:p w:rsidR="0009329B" w:rsidRPr="004B60C6" w:rsidRDefault="0009329B" w:rsidP="004B60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B60C6" w:rsidTr="004B60C6">
        <w:trPr>
          <w:jc w:val="center"/>
        </w:trPr>
        <w:tc>
          <w:tcPr>
            <w:tcW w:w="3780" w:type="dxa"/>
            <w:vAlign w:val="center"/>
          </w:tcPr>
          <w:p w:rsidR="0009329B" w:rsidRPr="004B60C6" w:rsidRDefault="0009329B" w:rsidP="004B60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4B60C6" w:rsidRDefault="0009329B" w:rsidP="004B60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B60C6" w:rsidRDefault="0009329B" w:rsidP="004B60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B60C6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B60C6" w:rsidRDefault="0009329B" w:rsidP="004B60C6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B60C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B7C59" w:rsidRPr="004B60C6">
              <w:rPr>
                <w:rFonts w:ascii="Arial" w:hAnsi="Arial" w:cs="Arial"/>
                <w:sz w:val="22"/>
                <w:szCs w:val="22"/>
              </w:rPr>
              <w:t>3</w:t>
            </w:r>
            <w:r w:rsidR="00F45CF9">
              <w:rPr>
                <w:rFonts w:ascii="Arial" w:hAnsi="Arial" w:cs="Arial"/>
                <w:sz w:val="22"/>
                <w:szCs w:val="22"/>
              </w:rPr>
              <w:t>.</w:t>
            </w:r>
            <w:r w:rsidR="00FB7C59" w:rsidRPr="004B60C6">
              <w:rPr>
                <w:rFonts w:ascii="Arial" w:hAnsi="Arial" w:cs="Arial"/>
                <w:sz w:val="22"/>
                <w:szCs w:val="22"/>
              </w:rPr>
              <w:t>671</w:t>
            </w:r>
            <w:r w:rsidRPr="004B60C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B60C6" w:rsidRDefault="0009329B" w:rsidP="004B60C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4111"/>
        <w:gridCol w:w="2270"/>
      </w:tblGrid>
      <w:tr w:rsidR="0009329B" w:rsidRPr="004B60C6" w:rsidTr="004B60C6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B60C6" w:rsidRDefault="0009329B" w:rsidP="004B60C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B60C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B60C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45CF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671</w:t>
            </w:r>
          </w:p>
          <w:p w:rsidR="0009329B" w:rsidRPr="004B60C6" w:rsidRDefault="0009329B" w:rsidP="004B60C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B60C6" w:rsidTr="004B60C6">
        <w:trPr>
          <w:jc w:val="center"/>
        </w:trPr>
        <w:tc>
          <w:tcPr>
            <w:tcW w:w="2588" w:type="dxa"/>
            <w:vAlign w:val="center"/>
          </w:tcPr>
          <w:p w:rsidR="0009329B" w:rsidRPr="004B60C6" w:rsidRDefault="0009329B" w:rsidP="004B60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B60C6" w:rsidRDefault="0009329B" w:rsidP="004B60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09329B" w:rsidRPr="004B60C6" w:rsidRDefault="0009329B" w:rsidP="004B60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B60C6" w:rsidRDefault="003A2640" w:rsidP="004B60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45CF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B7C59" w:rsidRPr="004B60C6">
              <w:rPr>
                <w:rFonts w:ascii="Arial" w:hAnsi="Arial" w:cs="Arial"/>
                <w:b/>
                <w:sz w:val="22"/>
                <w:szCs w:val="22"/>
              </w:rPr>
              <w:t>671</w:t>
            </w:r>
            <w:r w:rsidR="0009329B" w:rsidRPr="004B60C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4B60C6" w:rsidRDefault="0009329B" w:rsidP="004B60C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B60C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B60C6" w:rsidTr="003A2640">
        <w:trPr>
          <w:jc w:val="center"/>
        </w:trPr>
        <w:tc>
          <w:tcPr>
            <w:tcW w:w="8969" w:type="dxa"/>
            <w:gridSpan w:val="3"/>
          </w:tcPr>
          <w:p w:rsidR="0009329B" w:rsidRPr="004B60C6" w:rsidRDefault="0009329B" w:rsidP="004B60C6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4B60C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B7C59" w:rsidRPr="004B60C6">
              <w:rPr>
                <w:rFonts w:ascii="Arial" w:hAnsi="Arial" w:cs="Arial"/>
                <w:sz w:val="22"/>
                <w:szCs w:val="22"/>
              </w:rPr>
              <w:t>3</w:t>
            </w:r>
            <w:r w:rsidR="00F45CF9">
              <w:rPr>
                <w:rFonts w:ascii="Arial" w:hAnsi="Arial" w:cs="Arial"/>
                <w:sz w:val="22"/>
                <w:szCs w:val="22"/>
              </w:rPr>
              <w:t>.</w:t>
            </w:r>
            <w:r w:rsidR="00FB7C59" w:rsidRPr="004B60C6">
              <w:rPr>
                <w:rFonts w:ascii="Arial" w:hAnsi="Arial" w:cs="Arial"/>
                <w:sz w:val="22"/>
                <w:szCs w:val="22"/>
              </w:rPr>
              <w:t>671</w:t>
            </w:r>
            <w:r w:rsidRPr="004B60C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B60C6" w:rsidRDefault="0009329B" w:rsidP="004B60C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B60C6" w:rsidSect="004B60C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4B60C6"/>
    <w:rsid w:val="005C0D00"/>
    <w:rsid w:val="005D403A"/>
    <w:rsid w:val="006506AC"/>
    <w:rsid w:val="006B1B39"/>
    <w:rsid w:val="007B3EF1"/>
    <w:rsid w:val="009E1C36"/>
    <w:rsid w:val="00A476C0"/>
    <w:rsid w:val="00BD7CC4"/>
    <w:rsid w:val="00BF0F88"/>
    <w:rsid w:val="00C67C06"/>
    <w:rsid w:val="00F45CF9"/>
    <w:rsid w:val="00F76F73"/>
    <w:rsid w:val="00F914CB"/>
    <w:rsid w:val="00FB7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2015-09-28T18:52:00Z</dcterms:modified>
</cp:coreProperties>
</file>