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A2640" w:rsidRDefault="00FA3398" w:rsidP="00E0793D">
      <w:pPr>
        <w:spacing w:line="360" w:lineRule="auto"/>
        <w:rPr>
          <w:rFonts w:ascii="Arial" w:hAnsi="Arial" w:cs="Arial"/>
          <w:b/>
          <w:sz w:val="22"/>
          <w:szCs w:val="22"/>
        </w:rPr>
      </w:pPr>
      <w:r w:rsidRPr="00E0793D">
        <w:rPr>
          <w:rFonts w:ascii="Arial" w:hAnsi="Arial" w:cs="Arial"/>
          <w:b/>
          <w:sz w:val="22"/>
          <w:szCs w:val="22"/>
        </w:rPr>
        <w:t>LC-3630</w:t>
      </w:r>
    </w:p>
    <w:p w:rsidR="00E0793D" w:rsidRPr="00E0793D" w:rsidRDefault="00E0793D" w:rsidP="00E0793D">
      <w:pPr>
        <w:spacing w:line="360" w:lineRule="auto"/>
        <w:rPr>
          <w:rFonts w:ascii="Arial" w:hAnsi="Arial" w:cs="Arial"/>
          <w:b/>
          <w:sz w:val="22"/>
          <w:szCs w:val="22"/>
        </w:rPr>
      </w:pPr>
    </w:p>
    <w:p w:rsidR="00E0793D" w:rsidRPr="00E0793D" w:rsidRDefault="00854A5C" w:rsidP="00E0793D">
      <w:pPr>
        <w:spacing w:line="360" w:lineRule="auto"/>
        <w:jc w:val="center"/>
        <w:rPr>
          <w:rFonts w:ascii="Arial" w:hAnsi="Arial" w:cs="Arial"/>
          <w:b/>
          <w:sz w:val="22"/>
          <w:szCs w:val="22"/>
        </w:rPr>
      </w:pPr>
      <w:r w:rsidRPr="00854A5C">
        <w:rPr>
          <w:rFonts w:ascii="Arial" w:hAnsi="Arial" w:cs="Arial"/>
          <w:b/>
          <w:sz w:val="22"/>
          <w:szCs w:val="22"/>
        </w:rPr>
        <w:t>LEY G - N° 3</w:t>
      </w:r>
      <w:r>
        <w:rPr>
          <w:rFonts w:ascii="Arial" w:hAnsi="Arial" w:cs="Arial"/>
          <w:b/>
          <w:sz w:val="22"/>
          <w:szCs w:val="22"/>
        </w:rPr>
        <w:t>.</w:t>
      </w:r>
      <w:r w:rsidRPr="00854A5C">
        <w:rPr>
          <w:rFonts w:ascii="Arial" w:hAnsi="Arial" w:cs="Arial"/>
          <w:b/>
          <w:sz w:val="22"/>
          <w:szCs w:val="22"/>
        </w:rPr>
        <w:t>630</w:t>
      </w:r>
    </w:p>
    <w:p w:rsidR="00E0793D" w:rsidRDefault="00E0793D" w:rsidP="00E0793D">
      <w:pPr>
        <w:spacing w:line="360" w:lineRule="auto"/>
        <w:jc w:val="both"/>
        <w:rPr>
          <w:rFonts w:ascii="Arial" w:hAnsi="Arial" w:cs="Arial"/>
          <w:sz w:val="22"/>
          <w:szCs w:val="22"/>
          <w:lang w:val="es-AR"/>
        </w:rPr>
      </w:pPr>
    </w:p>
    <w:p w:rsidR="00FA3398" w:rsidRPr="00E0793D" w:rsidRDefault="00FA3398" w:rsidP="00E0793D">
      <w:pPr>
        <w:spacing w:line="360" w:lineRule="auto"/>
        <w:jc w:val="both"/>
        <w:rPr>
          <w:rFonts w:ascii="Arial" w:hAnsi="Arial" w:cs="Arial"/>
          <w:sz w:val="22"/>
          <w:szCs w:val="22"/>
          <w:lang w:val="es-AR"/>
        </w:rPr>
      </w:pPr>
      <w:r w:rsidRPr="00E0793D">
        <w:rPr>
          <w:rFonts w:ascii="Arial" w:hAnsi="Arial" w:cs="Arial"/>
          <w:sz w:val="22"/>
          <w:szCs w:val="22"/>
          <w:lang w:val="es-AR"/>
        </w:rPr>
        <w:t>Artículo 1º.- Créase la Comisión de Evaluación de Obras de Arte en el Espacio Público.</w:t>
      </w:r>
    </w:p>
    <w:p w:rsidR="00E0793D" w:rsidRDefault="00E0793D" w:rsidP="00E0793D">
      <w:pPr>
        <w:spacing w:line="360" w:lineRule="auto"/>
        <w:jc w:val="both"/>
        <w:rPr>
          <w:rFonts w:ascii="Arial" w:hAnsi="Arial" w:cs="Arial"/>
          <w:sz w:val="22"/>
          <w:szCs w:val="22"/>
          <w:lang w:val="es-AR"/>
        </w:rPr>
      </w:pPr>
    </w:p>
    <w:p w:rsidR="00FA3398" w:rsidRPr="00E0793D" w:rsidRDefault="00FA3398" w:rsidP="00E0793D">
      <w:pPr>
        <w:spacing w:line="360" w:lineRule="auto"/>
        <w:jc w:val="both"/>
        <w:rPr>
          <w:rFonts w:ascii="Arial" w:hAnsi="Arial" w:cs="Arial"/>
          <w:sz w:val="22"/>
          <w:szCs w:val="22"/>
          <w:lang w:val="es-AR"/>
        </w:rPr>
      </w:pPr>
      <w:r w:rsidRPr="00E0793D">
        <w:rPr>
          <w:rFonts w:ascii="Arial" w:hAnsi="Arial" w:cs="Arial"/>
          <w:sz w:val="22"/>
          <w:szCs w:val="22"/>
          <w:lang w:val="es-AR"/>
        </w:rPr>
        <w:t xml:space="preserve">Artículo 2º.- </w:t>
      </w:r>
      <w:proofErr w:type="spellStart"/>
      <w:r w:rsidRPr="00E0793D">
        <w:rPr>
          <w:rFonts w:ascii="Arial" w:hAnsi="Arial" w:cs="Arial"/>
          <w:sz w:val="22"/>
          <w:szCs w:val="22"/>
          <w:lang w:val="es-AR"/>
        </w:rPr>
        <w:t>Interprétase</w:t>
      </w:r>
      <w:proofErr w:type="spellEnd"/>
      <w:r w:rsidRPr="00E0793D">
        <w:rPr>
          <w:rFonts w:ascii="Arial" w:hAnsi="Arial" w:cs="Arial"/>
          <w:sz w:val="22"/>
          <w:szCs w:val="22"/>
          <w:lang w:val="es-AR"/>
        </w:rPr>
        <w:t xml:space="preserve"> como Obras de Arte, a los efectos de esta Ley, a los monumentos, obras pictóricas murales, esculturas, relieves y fuentes, que modifiquen el espacio público.</w:t>
      </w:r>
    </w:p>
    <w:p w:rsidR="00E0793D" w:rsidRDefault="00E0793D" w:rsidP="00E0793D">
      <w:pPr>
        <w:spacing w:line="360" w:lineRule="auto"/>
        <w:jc w:val="both"/>
        <w:rPr>
          <w:rFonts w:ascii="Arial" w:hAnsi="Arial" w:cs="Arial"/>
          <w:sz w:val="22"/>
          <w:szCs w:val="22"/>
          <w:lang w:val="es-AR"/>
        </w:rPr>
      </w:pPr>
    </w:p>
    <w:p w:rsidR="00FA3398" w:rsidRPr="00E0793D" w:rsidRDefault="00FA3398" w:rsidP="00E0793D">
      <w:pPr>
        <w:spacing w:line="360" w:lineRule="auto"/>
        <w:jc w:val="both"/>
        <w:rPr>
          <w:rFonts w:ascii="Arial" w:hAnsi="Arial" w:cs="Arial"/>
          <w:sz w:val="22"/>
          <w:szCs w:val="22"/>
          <w:lang w:val="es-AR"/>
        </w:rPr>
      </w:pPr>
      <w:r w:rsidRPr="00E0793D">
        <w:rPr>
          <w:rFonts w:ascii="Arial" w:hAnsi="Arial" w:cs="Arial"/>
          <w:sz w:val="22"/>
          <w:szCs w:val="22"/>
          <w:lang w:val="es-AR"/>
        </w:rPr>
        <w:t>Artículo 3º.- La Comisión tendrá carácter permanente y honoraria, debiendo ser integrada por un representante del Ministerio de Cultura, un representante del Ministerio de Ambiente y Espacio Público, dos representantes de la Comisión de Cultura y un representante de la Comisión Especial de Patrimonio Arquitectónico y Paisajístico de la Legislatura de la Ciudad Autónoma de Buenos Aires o los organismos que en el futuro los reemplacen. La citada Comisión podrá requerir asesoramiento a los organismos y entidades que considere pertinente.</w:t>
      </w:r>
    </w:p>
    <w:p w:rsidR="00E0793D" w:rsidRDefault="00E0793D" w:rsidP="00E0793D">
      <w:pPr>
        <w:spacing w:line="360" w:lineRule="auto"/>
        <w:jc w:val="both"/>
        <w:rPr>
          <w:rFonts w:ascii="Arial" w:hAnsi="Arial" w:cs="Arial"/>
          <w:sz w:val="22"/>
          <w:szCs w:val="22"/>
          <w:lang w:val="es-AR"/>
        </w:rPr>
      </w:pPr>
    </w:p>
    <w:p w:rsidR="00FA3398" w:rsidRPr="00E0793D" w:rsidRDefault="00FA3398" w:rsidP="00E0793D">
      <w:pPr>
        <w:spacing w:line="360" w:lineRule="auto"/>
        <w:jc w:val="both"/>
        <w:rPr>
          <w:rFonts w:ascii="Arial" w:hAnsi="Arial" w:cs="Arial"/>
          <w:sz w:val="22"/>
          <w:szCs w:val="22"/>
          <w:lang w:val="es-AR"/>
        </w:rPr>
      </w:pPr>
      <w:r w:rsidRPr="00E0793D">
        <w:rPr>
          <w:rFonts w:ascii="Arial" w:hAnsi="Arial" w:cs="Arial"/>
          <w:sz w:val="22"/>
          <w:szCs w:val="22"/>
          <w:lang w:val="es-AR"/>
        </w:rPr>
        <w:t>Artículo 4º.- La Comisión referida en el Art. 1º deberá intervenir con carácter obligatorio y previo, a la intervención de la Legislatura de la Ciudad, en todas aquellas cuestiones relacionadas con la aceptación de donaciones, encomienda, adquisiciones, emplazamiento, desplazamiento o remoción de toda obra de arte destinada a ser emplazada en el espacio público, en el ámbito de la Ciudad Autónoma de Buenos Aires.</w:t>
      </w:r>
    </w:p>
    <w:p w:rsidR="00E0793D" w:rsidRDefault="00E0793D" w:rsidP="00E0793D">
      <w:pPr>
        <w:spacing w:line="360" w:lineRule="auto"/>
        <w:jc w:val="both"/>
        <w:rPr>
          <w:rFonts w:ascii="Arial" w:hAnsi="Arial" w:cs="Arial"/>
          <w:sz w:val="22"/>
          <w:szCs w:val="22"/>
          <w:lang w:val="es-AR"/>
        </w:rPr>
      </w:pPr>
    </w:p>
    <w:p w:rsidR="00FA3398" w:rsidRPr="00E0793D" w:rsidRDefault="00FA3398" w:rsidP="00E0793D">
      <w:pPr>
        <w:spacing w:line="360" w:lineRule="auto"/>
        <w:jc w:val="both"/>
        <w:rPr>
          <w:rFonts w:ascii="Arial" w:hAnsi="Arial" w:cs="Arial"/>
          <w:sz w:val="22"/>
          <w:szCs w:val="22"/>
          <w:lang w:val="es-AR"/>
        </w:rPr>
      </w:pPr>
      <w:r w:rsidRPr="00E0793D">
        <w:rPr>
          <w:rFonts w:ascii="Arial" w:hAnsi="Arial" w:cs="Arial"/>
          <w:sz w:val="22"/>
          <w:szCs w:val="22"/>
          <w:lang w:val="es-AR"/>
        </w:rPr>
        <w:t>Artículo 5º.- La Comisión tendrá un plazo de treinta (30) días, desde la recepción del asunto que la llame a intervenir, para elevar el dictamen a la Comisión de Cultura de la Legislatura. En caso de necesidad justificada podrá solicitar una prórroga, de igual lapso, para el cumplimiento de su tarea.</w:t>
      </w:r>
    </w:p>
    <w:p w:rsidR="00E0793D" w:rsidRDefault="00E0793D" w:rsidP="00E0793D">
      <w:pPr>
        <w:spacing w:line="360" w:lineRule="auto"/>
        <w:jc w:val="both"/>
        <w:rPr>
          <w:rFonts w:ascii="Arial" w:hAnsi="Arial" w:cs="Arial"/>
          <w:sz w:val="22"/>
          <w:szCs w:val="22"/>
          <w:lang w:val="es-AR"/>
        </w:rPr>
      </w:pPr>
    </w:p>
    <w:p w:rsidR="00FA3398" w:rsidRPr="00E0793D" w:rsidRDefault="00FA3398" w:rsidP="00E0793D">
      <w:pPr>
        <w:spacing w:line="360" w:lineRule="auto"/>
        <w:jc w:val="both"/>
        <w:rPr>
          <w:rFonts w:ascii="Arial" w:hAnsi="Arial" w:cs="Arial"/>
          <w:sz w:val="22"/>
          <w:szCs w:val="22"/>
          <w:lang w:val="es-AR"/>
        </w:rPr>
      </w:pPr>
      <w:r w:rsidRPr="00E0793D">
        <w:rPr>
          <w:rFonts w:ascii="Arial" w:hAnsi="Arial" w:cs="Arial"/>
          <w:sz w:val="22"/>
          <w:szCs w:val="22"/>
          <w:lang w:val="es-AR"/>
        </w:rPr>
        <w:t>Artículo 6º.- La evaluación y conclusiones de la citada comisión, tendrán carácter de asesoramiento no vinculante para el organismo legislativo y deberán preceder a los despachos de las comisiones intervinientes y a la citación de la primera Audiencia Pública, según lo establecido en los Artículos 89 y 90 de la Constitución de la Ciudad</w:t>
      </w:r>
      <w:r w:rsidR="005C389B" w:rsidRPr="00E0793D">
        <w:rPr>
          <w:rFonts w:ascii="Arial" w:hAnsi="Arial" w:cs="Arial"/>
          <w:sz w:val="22"/>
          <w:szCs w:val="22"/>
          <w:lang w:val="es-AR"/>
        </w:rPr>
        <w:t xml:space="preserve"> #</w:t>
      </w:r>
      <w:r w:rsidRPr="00E0793D">
        <w:rPr>
          <w:rFonts w:ascii="Arial" w:hAnsi="Arial" w:cs="Arial"/>
          <w:sz w:val="22"/>
          <w:szCs w:val="22"/>
          <w:lang w:val="es-AR"/>
        </w:rPr>
        <w:t>.</w:t>
      </w:r>
    </w:p>
    <w:p w:rsidR="00FA3398" w:rsidRPr="00E0793D" w:rsidRDefault="00FA3398" w:rsidP="00E0793D">
      <w:pPr>
        <w:spacing w:line="360" w:lineRule="auto"/>
        <w:jc w:val="both"/>
        <w:rPr>
          <w:rFonts w:ascii="Arial" w:hAnsi="Arial" w:cs="Arial"/>
          <w:sz w:val="22"/>
          <w:szCs w:val="22"/>
          <w:lang w:val="es-AR"/>
        </w:rPr>
      </w:pPr>
      <w:r w:rsidRPr="00E0793D">
        <w:rPr>
          <w:rFonts w:ascii="Arial" w:hAnsi="Arial" w:cs="Arial"/>
          <w:sz w:val="22"/>
          <w:szCs w:val="22"/>
          <w:lang w:val="es-AR"/>
        </w:rPr>
        <w:t>A tal efecto, las comisiones intervinientes deberán requerir el informe de la comisión creada por esta Ley.</w:t>
      </w:r>
    </w:p>
    <w:p w:rsidR="00E0793D" w:rsidRDefault="00E0793D" w:rsidP="00E0793D">
      <w:pPr>
        <w:spacing w:line="360" w:lineRule="auto"/>
        <w:jc w:val="both"/>
        <w:rPr>
          <w:rFonts w:ascii="Arial" w:hAnsi="Arial" w:cs="Arial"/>
          <w:sz w:val="22"/>
          <w:szCs w:val="22"/>
          <w:lang w:val="es-AR"/>
        </w:rPr>
      </w:pPr>
    </w:p>
    <w:p w:rsidR="00FA3398" w:rsidRPr="00E0793D" w:rsidRDefault="00FA3398" w:rsidP="00E0793D">
      <w:pPr>
        <w:spacing w:line="360" w:lineRule="auto"/>
        <w:jc w:val="both"/>
        <w:rPr>
          <w:rFonts w:ascii="Arial" w:hAnsi="Arial" w:cs="Arial"/>
          <w:sz w:val="22"/>
          <w:szCs w:val="22"/>
          <w:lang w:val="es-AR"/>
        </w:rPr>
      </w:pPr>
      <w:r w:rsidRPr="00E0793D">
        <w:rPr>
          <w:rFonts w:ascii="Arial" w:hAnsi="Arial" w:cs="Arial"/>
          <w:sz w:val="22"/>
          <w:szCs w:val="22"/>
          <w:lang w:val="es-AR"/>
        </w:rPr>
        <w:t>Artículo 7º.- La Comisión, emitirá su opinión y evaluación acerca de la aceptación de donaciones, encomiendas, adquisiciones, emplazamiento, desplazamiento o remoción de obras de arte, basándose en los siguientes criterios:</w:t>
      </w:r>
    </w:p>
    <w:p w:rsidR="00FA3398" w:rsidRPr="00854A5C" w:rsidRDefault="00FA3398" w:rsidP="00854A5C">
      <w:pPr>
        <w:pStyle w:val="Prrafodelista"/>
        <w:numPr>
          <w:ilvl w:val="0"/>
          <w:numId w:val="2"/>
        </w:numPr>
        <w:spacing w:line="360" w:lineRule="auto"/>
        <w:ind w:left="567" w:hanging="567"/>
        <w:jc w:val="both"/>
        <w:rPr>
          <w:rFonts w:ascii="Arial" w:hAnsi="Arial" w:cs="Arial"/>
          <w:sz w:val="22"/>
          <w:szCs w:val="22"/>
          <w:lang w:val="es-AR"/>
        </w:rPr>
      </w:pPr>
      <w:r w:rsidRPr="00854A5C">
        <w:rPr>
          <w:rFonts w:ascii="Arial" w:hAnsi="Arial" w:cs="Arial"/>
          <w:sz w:val="22"/>
          <w:szCs w:val="22"/>
          <w:lang w:val="es-AR"/>
        </w:rPr>
        <w:lastRenderedPageBreak/>
        <w:t>Criterio Estético: se refiere a las cualidades plásticas, de estilo, temáticas, de composición, coherencia tipológica y toda otra cualidad formal relevante.</w:t>
      </w:r>
    </w:p>
    <w:p w:rsidR="00FA3398" w:rsidRPr="00854A5C" w:rsidRDefault="00FA3398" w:rsidP="00854A5C">
      <w:pPr>
        <w:pStyle w:val="Prrafodelista"/>
        <w:numPr>
          <w:ilvl w:val="0"/>
          <w:numId w:val="2"/>
        </w:numPr>
        <w:spacing w:line="360" w:lineRule="auto"/>
        <w:ind w:left="567" w:hanging="567"/>
        <w:jc w:val="both"/>
        <w:rPr>
          <w:rFonts w:ascii="Arial" w:hAnsi="Arial" w:cs="Arial"/>
          <w:sz w:val="22"/>
          <w:szCs w:val="22"/>
          <w:lang w:val="es-AR"/>
        </w:rPr>
      </w:pPr>
      <w:r w:rsidRPr="00854A5C">
        <w:rPr>
          <w:rFonts w:ascii="Arial" w:hAnsi="Arial" w:cs="Arial"/>
          <w:sz w:val="22"/>
          <w:szCs w:val="22"/>
          <w:lang w:val="es-AR"/>
        </w:rPr>
        <w:t>Criterio Histórico-Cultural: se refiere a los méritos testimoniales de la obra en relación con aspectos de la vida social presente o pasada, y/o que constituya un referente para la memoria colectiva.</w:t>
      </w:r>
    </w:p>
    <w:p w:rsidR="00FA3398" w:rsidRPr="00854A5C" w:rsidRDefault="00FA3398" w:rsidP="00854A5C">
      <w:pPr>
        <w:pStyle w:val="Prrafodelista"/>
        <w:numPr>
          <w:ilvl w:val="0"/>
          <w:numId w:val="2"/>
        </w:numPr>
        <w:spacing w:line="360" w:lineRule="auto"/>
        <w:ind w:left="567" w:hanging="567"/>
        <w:jc w:val="both"/>
        <w:rPr>
          <w:rFonts w:ascii="Arial" w:hAnsi="Arial" w:cs="Arial"/>
          <w:sz w:val="22"/>
          <w:szCs w:val="22"/>
          <w:lang w:val="es-AR"/>
        </w:rPr>
      </w:pPr>
      <w:r w:rsidRPr="00854A5C">
        <w:rPr>
          <w:rFonts w:ascii="Arial" w:hAnsi="Arial" w:cs="Arial"/>
          <w:sz w:val="22"/>
          <w:szCs w:val="22"/>
          <w:lang w:val="es-AR"/>
        </w:rPr>
        <w:t>Criterio Urbanístico: se refiere a la coherencia de su emplazamiento con su entorno en su uso cotidiano, la no afectación de normas de seguridad en la vía pública, tanto para las personas como para las propiedades públicas y al impacto ambiental.</w:t>
      </w:r>
    </w:p>
    <w:p w:rsidR="00FA3398" w:rsidRPr="00E0793D" w:rsidRDefault="00FA3398" w:rsidP="00E0793D">
      <w:pPr>
        <w:spacing w:line="360" w:lineRule="auto"/>
        <w:jc w:val="both"/>
        <w:rPr>
          <w:rFonts w:ascii="Arial" w:hAnsi="Arial" w:cs="Arial"/>
          <w:sz w:val="22"/>
          <w:szCs w:val="22"/>
          <w:lang w:val="es-AR"/>
        </w:rPr>
      </w:pPr>
      <w:r w:rsidRPr="00E0793D">
        <w:rPr>
          <w:rFonts w:ascii="Arial" w:hAnsi="Arial" w:cs="Arial"/>
          <w:sz w:val="22"/>
          <w:szCs w:val="22"/>
          <w:lang w:val="es-AR"/>
        </w:rPr>
        <w:t>Con la evaluación y opinión correspondientes se deberán adjuntar fotografías y un esquema básico de la propuesta, con sus dimensiones principales.</w:t>
      </w:r>
    </w:p>
    <w:p w:rsidR="00E0793D" w:rsidRDefault="00E0793D" w:rsidP="00E0793D">
      <w:pPr>
        <w:spacing w:line="360" w:lineRule="auto"/>
        <w:jc w:val="both"/>
        <w:rPr>
          <w:rFonts w:ascii="Arial" w:hAnsi="Arial" w:cs="Arial"/>
          <w:sz w:val="22"/>
          <w:szCs w:val="22"/>
          <w:lang w:val="es-AR"/>
        </w:rPr>
      </w:pPr>
    </w:p>
    <w:p w:rsidR="00FA3398" w:rsidRPr="00E0793D" w:rsidRDefault="00FA3398" w:rsidP="00E0793D">
      <w:pPr>
        <w:spacing w:line="360" w:lineRule="auto"/>
        <w:jc w:val="both"/>
        <w:rPr>
          <w:rFonts w:ascii="Arial" w:hAnsi="Arial" w:cs="Arial"/>
          <w:sz w:val="22"/>
          <w:szCs w:val="22"/>
          <w:lang w:val="es-AR"/>
        </w:rPr>
      </w:pPr>
      <w:r w:rsidRPr="00E0793D">
        <w:rPr>
          <w:rFonts w:ascii="Arial" w:hAnsi="Arial" w:cs="Arial"/>
          <w:sz w:val="22"/>
          <w:szCs w:val="22"/>
          <w:lang w:val="es-AR"/>
        </w:rPr>
        <w:t>Artículo 8º.- El Poder Ejecutivo deberá reglamentar la presente Ley en el plazo de treinta (30) días de la fecha de su promulgación.</w:t>
      </w:r>
    </w:p>
    <w:p w:rsidR="0009329B" w:rsidRPr="00E0793D" w:rsidRDefault="0009329B" w:rsidP="00E0793D">
      <w:pPr>
        <w:spacing w:line="360" w:lineRule="auto"/>
        <w:jc w:val="both"/>
        <w:rPr>
          <w:rFonts w:ascii="Arial" w:hAnsi="Arial" w:cs="Arial"/>
          <w:sz w:val="22"/>
          <w:szCs w:val="22"/>
          <w:lang w:val="es-AR"/>
        </w:rPr>
      </w:pPr>
    </w:p>
    <w:tbl>
      <w:tblPr>
        <w:tblW w:w="0" w:type="auto"/>
        <w:jc w:val="center"/>
        <w:tblInd w:w="-11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70" w:type="dxa"/>
          <w:right w:w="70" w:type="dxa"/>
        </w:tblCellMar>
        <w:tblLook w:val="01E0"/>
      </w:tblPr>
      <w:tblGrid>
        <w:gridCol w:w="3780"/>
        <w:gridCol w:w="5189"/>
      </w:tblGrid>
      <w:tr w:rsidR="0009329B" w:rsidRPr="00E0793D" w:rsidTr="00E0793D">
        <w:trPr>
          <w:jc w:val="center"/>
        </w:trPr>
        <w:tc>
          <w:tcPr>
            <w:tcW w:w="8969" w:type="dxa"/>
            <w:gridSpan w:val="2"/>
            <w:vAlign w:val="center"/>
          </w:tcPr>
          <w:p w:rsidR="0009329B" w:rsidRPr="00E0793D" w:rsidRDefault="0009329B" w:rsidP="00E0793D">
            <w:pPr>
              <w:pStyle w:val="Textosinformato"/>
              <w:spacing w:before="240" w:line="360" w:lineRule="auto"/>
              <w:jc w:val="center"/>
              <w:rPr>
                <w:rFonts w:ascii="Arial" w:hAnsi="Arial" w:cs="Arial"/>
                <w:sz w:val="22"/>
                <w:u w:val="single"/>
              </w:rPr>
            </w:pPr>
            <w:r w:rsidRPr="00E0793D">
              <w:rPr>
                <w:rFonts w:ascii="Arial" w:hAnsi="Arial" w:cs="Arial"/>
                <w:b/>
                <w:sz w:val="22"/>
                <w:szCs w:val="22"/>
              </w:rPr>
              <w:t xml:space="preserve">LEY </w:t>
            </w:r>
            <w:r w:rsidR="00FA3398" w:rsidRPr="00E0793D">
              <w:rPr>
                <w:rFonts w:ascii="Arial" w:hAnsi="Arial" w:cs="Arial"/>
                <w:b/>
                <w:sz w:val="22"/>
                <w:szCs w:val="22"/>
              </w:rPr>
              <w:t>G</w:t>
            </w:r>
            <w:r w:rsidR="003A2640" w:rsidRPr="00E0793D">
              <w:rPr>
                <w:rFonts w:ascii="Arial" w:hAnsi="Arial" w:cs="Arial"/>
                <w:b/>
                <w:sz w:val="22"/>
                <w:szCs w:val="22"/>
              </w:rPr>
              <w:t xml:space="preserve"> </w:t>
            </w:r>
            <w:r w:rsidRPr="00E0793D">
              <w:rPr>
                <w:rFonts w:ascii="Arial" w:hAnsi="Arial" w:cs="Arial"/>
                <w:b/>
                <w:sz w:val="22"/>
                <w:szCs w:val="22"/>
              </w:rPr>
              <w:t xml:space="preserve">- N° </w:t>
            </w:r>
            <w:r w:rsidR="00FA3398" w:rsidRPr="00E0793D">
              <w:rPr>
                <w:rFonts w:ascii="Arial" w:hAnsi="Arial" w:cs="Arial"/>
                <w:b/>
                <w:sz w:val="22"/>
                <w:szCs w:val="22"/>
              </w:rPr>
              <w:t>3</w:t>
            </w:r>
            <w:r w:rsidR="00854A5C">
              <w:rPr>
                <w:rFonts w:ascii="Arial" w:hAnsi="Arial" w:cs="Arial"/>
                <w:b/>
                <w:sz w:val="22"/>
                <w:szCs w:val="22"/>
              </w:rPr>
              <w:t>.</w:t>
            </w:r>
            <w:r w:rsidR="00FA3398" w:rsidRPr="00E0793D">
              <w:rPr>
                <w:rFonts w:ascii="Arial" w:hAnsi="Arial" w:cs="Arial"/>
                <w:b/>
                <w:sz w:val="22"/>
                <w:szCs w:val="22"/>
              </w:rPr>
              <w:t>630</w:t>
            </w:r>
          </w:p>
          <w:p w:rsidR="0009329B" w:rsidRPr="00E0793D" w:rsidRDefault="0009329B" w:rsidP="00E0793D">
            <w:pPr>
              <w:pStyle w:val="Textosinformato"/>
              <w:spacing w:line="360" w:lineRule="auto"/>
              <w:jc w:val="center"/>
              <w:rPr>
                <w:rFonts w:ascii="Arial" w:hAnsi="Arial" w:cs="Arial"/>
                <w:b/>
                <w:sz w:val="22"/>
              </w:rPr>
            </w:pPr>
            <w:r w:rsidRPr="00E0793D">
              <w:rPr>
                <w:rFonts w:ascii="Arial" w:hAnsi="Arial" w:cs="Arial"/>
                <w:b/>
                <w:sz w:val="22"/>
                <w:szCs w:val="22"/>
              </w:rPr>
              <w:t>TABLA DE ANTECEDENTES</w:t>
            </w:r>
          </w:p>
        </w:tc>
      </w:tr>
      <w:tr w:rsidR="0009329B" w:rsidRPr="00E0793D" w:rsidTr="00E0793D">
        <w:trPr>
          <w:jc w:val="center"/>
        </w:trPr>
        <w:tc>
          <w:tcPr>
            <w:tcW w:w="3780" w:type="dxa"/>
            <w:vAlign w:val="center"/>
          </w:tcPr>
          <w:p w:rsidR="0009329B" w:rsidRPr="00E0793D" w:rsidRDefault="0009329B" w:rsidP="00E0793D">
            <w:pPr>
              <w:pStyle w:val="Textosinformato"/>
              <w:spacing w:line="360" w:lineRule="auto"/>
              <w:jc w:val="center"/>
              <w:rPr>
                <w:rFonts w:ascii="Arial" w:hAnsi="Arial" w:cs="Arial"/>
                <w:b/>
                <w:sz w:val="22"/>
              </w:rPr>
            </w:pPr>
            <w:r w:rsidRPr="00E0793D">
              <w:rPr>
                <w:rFonts w:ascii="Arial" w:hAnsi="Arial" w:cs="Arial"/>
                <w:b/>
                <w:sz w:val="22"/>
                <w:szCs w:val="22"/>
              </w:rPr>
              <w:t>Artículo del Texto</w:t>
            </w:r>
          </w:p>
          <w:p w:rsidR="0009329B" w:rsidRPr="00E0793D" w:rsidRDefault="0009329B" w:rsidP="00E0793D">
            <w:pPr>
              <w:pStyle w:val="Textosinformato"/>
              <w:spacing w:line="360" w:lineRule="auto"/>
              <w:jc w:val="center"/>
              <w:rPr>
                <w:rFonts w:ascii="Arial" w:hAnsi="Arial" w:cs="Arial"/>
                <w:b/>
                <w:sz w:val="22"/>
              </w:rPr>
            </w:pPr>
            <w:r w:rsidRPr="00E0793D">
              <w:rPr>
                <w:rFonts w:ascii="Arial" w:hAnsi="Arial" w:cs="Arial"/>
                <w:b/>
                <w:sz w:val="22"/>
                <w:szCs w:val="22"/>
              </w:rPr>
              <w:t>Definitivo</w:t>
            </w:r>
          </w:p>
        </w:tc>
        <w:tc>
          <w:tcPr>
            <w:tcW w:w="5189" w:type="dxa"/>
            <w:vAlign w:val="center"/>
          </w:tcPr>
          <w:p w:rsidR="0009329B" w:rsidRPr="00E0793D" w:rsidRDefault="0009329B" w:rsidP="00E0793D">
            <w:pPr>
              <w:pStyle w:val="Textosinformato"/>
              <w:spacing w:line="360" w:lineRule="auto"/>
              <w:jc w:val="center"/>
              <w:rPr>
                <w:rFonts w:ascii="Arial" w:hAnsi="Arial" w:cs="Arial"/>
                <w:b/>
                <w:sz w:val="22"/>
              </w:rPr>
            </w:pPr>
            <w:r w:rsidRPr="00E0793D">
              <w:rPr>
                <w:rFonts w:ascii="Arial" w:hAnsi="Arial" w:cs="Arial"/>
                <w:b/>
                <w:sz w:val="22"/>
                <w:szCs w:val="22"/>
              </w:rPr>
              <w:t>Fuente</w:t>
            </w:r>
          </w:p>
        </w:tc>
      </w:tr>
      <w:tr w:rsidR="0009329B" w:rsidRPr="00E0793D" w:rsidTr="003A2640">
        <w:trPr>
          <w:trHeight w:val="555"/>
          <w:jc w:val="center"/>
        </w:trPr>
        <w:tc>
          <w:tcPr>
            <w:tcW w:w="8969" w:type="dxa"/>
            <w:gridSpan w:val="2"/>
          </w:tcPr>
          <w:p w:rsidR="0009329B" w:rsidRPr="00E0793D" w:rsidRDefault="0009329B" w:rsidP="00E0793D">
            <w:pPr>
              <w:pStyle w:val="Textosinformato"/>
              <w:spacing w:line="360" w:lineRule="auto"/>
              <w:jc w:val="both"/>
              <w:rPr>
                <w:rFonts w:ascii="Arial" w:hAnsi="Arial" w:cs="Arial"/>
                <w:sz w:val="22"/>
              </w:rPr>
            </w:pPr>
            <w:r w:rsidRPr="00E0793D">
              <w:rPr>
                <w:rFonts w:ascii="Arial" w:hAnsi="Arial" w:cs="Arial"/>
                <w:sz w:val="22"/>
                <w:szCs w:val="22"/>
              </w:rPr>
              <w:t xml:space="preserve">Todos los artículos de este texto definitivo provienen del texto original de la Ley </w:t>
            </w:r>
            <w:r w:rsidR="00FA3398" w:rsidRPr="00E0793D">
              <w:rPr>
                <w:rFonts w:ascii="Arial" w:hAnsi="Arial" w:cs="Arial"/>
                <w:sz w:val="22"/>
                <w:szCs w:val="22"/>
              </w:rPr>
              <w:t>3</w:t>
            </w:r>
            <w:r w:rsidR="00854A5C">
              <w:rPr>
                <w:rFonts w:ascii="Arial" w:hAnsi="Arial" w:cs="Arial"/>
                <w:sz w:val="22"/>
                <w:szCs w:val="22"/>
              </w:rPr>
              <w:t>.</w:t>
            </w:r>
            <w:r w:rsidR="00FA3398" w:rsidRPr="00E0793D">
              <w:rPr>
                <w:rFonts w:ascii="Arial" w:hAnsi="Arial" w:cs="Arial"/>
                <w:sz w:val="22"/>
                <w:szCs w:val="22"/>
              </w:rPr>
              <w:t>630</w:t>
            </w:r>
            <w:r w:rsidRPr="00E0793D">
              <w:rPr>
                <w:rFonts w:ascii="Arial" w:hAnsi="Arial" w:cs="Arial"/>
                <w:sz w:val="22"/>
                <w:szCs w:val="22"/>
              </w:rPr>
              <w:t>.</w:t>
            </w:r>
          </w:p>
        </w:tc>
      </w:tr>
    </w:tbl>
    <w:p w:rsidR="00E0793D" w:rsidRDefault="00E0793D" w:rsidP="00E0793D">
      <w:pPr>
        <w:spacing w:line="360" w:lineRule="auto"/>
        <w:rPr>
          <w:rFonts w:ascii="Arial" w:hAnsi="Arial" w:cs="Arial"/>
          <w:b/>
          <w:sz w:val="22"/>
          <w:szCs w:val="22"/>
        </w:rPr>
      </w:pPr>
    </w:p>
    <w:p w:rsidR="005C389B" w:rsidRPr="00E0793D" w:rsidRDefault="005C389B" w:rsidP="00E0793D">
      <w:pPr>
        <w:spacing w:line="360" w:lineRule="auto"/>
        <w:rPr>
          <w:rFonts w:ascii="Arial" w:hAnsi="Arial" w:cs="Arial"/>
          <w:b/>
          <w:sz w:val="22"/>
          <w:szCs w:val="22"/>
        </w:rPr>
      </w:pPr>
      <w:r w:rsidRPr="00E0793D">
        <w:rPr>
          <w:rFonts w:ascii="Arial" w:hAnsi="Arial" w:cs="Arial"/>
          <w:b/>
          <w:sz w:val="22"/>
          <w:szCs w:val="22"/>
        </w:rPr>
        <w:t>Artículos suprimidos:</w:t>
      </w:r>
    </w:p>
    <w:p w:rsidR="005C389B" w:rsidRDefault="005C389B" w:rsidP="00E0793D">
      <w:pPr>
        <w:spacing w:line="360" w:lineRule="auto"/>
        <w:rPr>
          <w:rFonts w:ascii="Arial" w:hAnsi="Arial" w:cs="Arial"/>
          <w:sz w:val="22"/>
          <w:szCs w:val="22"/>
        </w:rPr>
      </w:pPr>
      <w:r w:rsidRPr="00E0793D">
        <w:rPr>
          <w:rFonts w:ascii="Arial" w:hAnsi="Arial" w:cs="Arial"/>
          <w:sz w:val="22"/>
          <w:szCs w:val="22"/>
        </w:rPr>
        <w:t>Anterior art. 9°:- Caducidad por objeto cumplido.</w:t>
      </w:r>
    </w:p>
    <w:p w:rsidR="00E0793D" w:rsidRPr="00E0793D" w:rsidRDefault="00E0793D" w:rsidP="00E0793D">
      <w:pPr>
        <w:spacing w:line="360" w:lineRule="auto"/>
        <w:rPr>
          <w:rFonts w:ascii="Arial" w:hAnsi="Arial" w:cs="Arial"/>
          <w:b/>
          <w:sz w:val="22"/>
          <w:szCs w:val="22"/>
        </w:rPr>
      </w:pPr>
    </w:p>
    <w:tbl>
      <w:tblPr>
        <w:tblW w:w="0" w:type="auto"/>
        <w:jc w:val="center"/>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588"/>
        <w:gridCol w:w="3969"/>
        <w:gridCol w:w="2412"/>
      </w:tblGrid>
      <w:tr w:rsidR="0009329B" w:rsidRPr="00E0793D" w:rsidTr="00E0793D">
        <w:trPr>
          <w:jc w:val="center"/>
        </w:trPr>
        <w:tc>
          <w:tcPr>
            <w:tcW w:w="8969" w:type="dxa"/>
            <w:gridSpan w:val="3"/>
            <w:vAlign w:val="center"/>
          </w:tcPr>
          <w:p w:rsidR="0009329B" w:rsidRPr="00E0793D" w:rsidRDefault="0009329B" w:rsidP="00E0793D">
            <w:pPr>
              <w:pStyle w:val="Textosinformato"/>
              <w:spacing w:before="240" w:line="360" w:lineRule="auto"/>
              <w:jc w:val="center"/>
              <w:rPr>
                <w:rFonts w:ascii="Arial" w:hAnsi="Arial" w:cs="Arial"/>
                <w:b/>
                <w:sz w:val="22"/>
              </w:rPr>
            </w:pPr>
            <w:r w:rsidRPr="00E0793D">
              <w:rPr>
                <w:rFonts w:ascii="Arial" w:hAnsi="Arial" w:cs="Arial"/>
                <w:b/>
                <w:sz w:val="22"/>
                <w:szCs w:val="22"/>
              </w:rPr>
              <w:t xml:space="preserve">LEY </w:t>
            </w:r>
            <w:r w:rsidR="00FA3398" w:rsidRPr="00E0793D">
              <w:rPr>
                <w:rFonts w:ascii="Arial" w:hAnsi="Arial" w:cs="Arial"/>
                <w:b/>
                <w:sz w:val="22"/>
                <w:szCs w:val="22"/>
              </w:rPr>
              <w:t>G</w:t>
            </w:r>
            <w:r w:rsidR="003A2640" w:rsidRPr="00E0793D">
              <w:rPr>
                <w:rFonts w:ascii="Arial" w:hAnsi="Arial" w:cs="Arial"/>
                <w:b/>
                <w:sz w:val="22"/>
                <w:szCs w:val="22"/>
              </w:rPr>
              <w:t xml:space="preserve"> </w:t>
            </w:r>
            <w:r w:rsidRPr="00E0793D">
              <w:rPr>
                <w:rFonts w:ascii="Arial" w:hAnsi="Arial" w:cs="Arial"/>
                <w:b/>
                <w:sz w:val="22"/>
                <w:szCs w:val="22"/>
              </w:rPr>
              <w:t xml:space="preserve">- N° </w:t>
            </w:r>
            <w:r w:rsidR="00FA3398" w:rsidRPr="00E0793D">
              <w:rPr>
                <w:rFonts w:ascii="Arial" w:hAnsi="Arial" w:cs="Arial"/>
                <w:b/>
                <w:sz w:val="22"/>
                <w:szCs w:val="22"/>
              </w:rPr>
              <w:t>3</w:t>
            </w:r>
            <w:r w:rsidR="00854A5C">
              <w:rPr>
                <w:rFonts w:ascii="Arial" w:hAnsi="Arial" w:cs="Arial"/>
                <w:b/>
                <w:sz w:val="22"/>
                <w:szCs w:val="22"/>
              </w:rPr>
              <w:t>.</w:t>
            </w:r>
            <w:r w:rsidR="00FA3398" w:rsidRPr="00E0793D">
              <w:rPr>
                <w:rFonts w:ascii="Arial" w:hAnsi="Arial" w:cs="Arial"/>
                <w:b/>
                <w:sz w:val="22"/>
                <w:szCs w:val="22"/>
              </w:rPr>
              <w:t>630</w:t>
            </w:r>
          </w:p>
          <w:p w:rsidR="0009329B" w:rsidRPr="00E0793D" w:rsidRDefault="0009329B" w:rsidP="00E0793D">
            <w:pPr>
              <w:pStyle w:val="Textosinformato"/>
              <w:spacing w:line="360" w:lineRule="auto"/>
              <w:jc w:val="center"/>
              <w:rPr>
                <w:rFonts w:ascii="Arial" w:hAnsi="Arial" w:cs="Arial"/>
                <w:b/>
                <w:sz w:val="22"/>
              </w:rPr>
            </w:pPr>
            <w:r w:rsidRPr="00E0793D">
              <w:rPr>
                <w:rFonts w:ascii="Arial" w:hAnsi="Arial" w:cs="Arial"/>
                <w:b/>
                <w:sz w:val="22"/>
                <w:szCs w:val="22"/>
              </w:rPr>
              <w:t>TABLA DE EQUIVALENCIAS</w:t>
            </w:r>
          </w:p>
        </w:tc>
      </w:tr>
      <w:tr w:rsidR="0009329B" w:rsidRPr="00E0793D" w:rsidTr="00E0793D">
        <w:trPr>
          <w:jc w:val="center"/>
        </w:trPr>
        <w:tc>
          <w:tcPr>
            <w:tcW w:w="2588" w:type="dxa"/>
            <w:vAlign w:val="center"/>
          </w:tcPr>
          <w:p w:rsidR="0009329B" w:rsidRPr="00E0793D" w:rsidRDefault="0009329B" w:rsidP="00E0793D">
            <w:pPr>
              <w:spacing w:line="360" w:lineRule="auto"/>
              <w:jc w:val="center"/>
              <w:rPr>
                <w:rFonts w:ascii="Arial" w:hAnsi="Arial" w:cs="Arial"/>
                <w:b/>
              </w:rPr>
            </w:pPr>
            <w:r w:rsidRPr="00E0793D">
              <w:rPr>
                <w:rFonts w:ascii="Arial" w:hAnsi="Arial" w:cs="Arial"/>
                <w:b/>
                <w:sz w:val="22"/>
                <w:szCs w:val="22"/>
              </w:rPr>
              <w:t>Número de artículo</w:t>
            </w:r>
          </w:p>
          <w:p w:rsidR="0009329B" w:rsidRPr="00E0793D" w:rsidRDefault="0009329B" w:rsidP="00E0793D">
            <w:pPr>
              <w:spacing w:line="360" w:lineRule="auto"/>
              <w:jc w:val="center"/>
              <w:rPr>
                <w:rFonts w:ascii="Arial" w:hAnsi="Arial" w:cs="Arial"/>
                <w:b/>
              </w:rPr>
            </w:pPr>
            <w:r w:rsidRPr="00E0793D">
              <w:rPr>
                <w:rFonts w:ascii="Arial" w:hAnsi="Arial" w:cs="Arial"/>
                <w:b/>
                <w:sz w:val="22"/>
                <w:szCs w:val="22"/>
              </w:rPr>
              <w:t>del Texto Definitivo</w:t>
            </w:r>
          </w:p>
        </w:tc>
        <w:tc>
          <w:tcPr>
            <w:tcW w:w="3969" w:type="dxa"/>
            <w:vAlign w:val="center"/>
          </w:tcPr>
          <w:p w:rsidR="0009329B" w:rsidRPr="00E0793D" w:rsidRDefault="0009329B" w:rsidP="00E0793D">
            <w:pPr>
              <w:spacing w:line="360" w:lineRule="auto"/>
              <w:jc w:val="center"/>
              <w:rPr>
                <w:rFonts w:ascii="Arial" w:hAnsi="Arial" w:cs="Arial"/>
                <w:b/>
              </w:rPr>
            </w:pPr>
            <w:r w:rsidRPr="00E0793D">
              <w:rPr>
                <w:rFonts w:ascii="Arial" w:hAnsi="Arial" w:cs="Arial"/>
                <w:b/>
                <w:sz w:val="22"/>
                <w:szCs w:val="22"/>
              </w:rPr>
              <w:t>Número de artículo</w:t>
            </w:r>
          </w:p>
          <w:p w:rsidR="0009329B" w:rsidRPr="00E0793D" w:rsidRDefault="003A2640" w:rsidP="00E0793D">
            <w:pPr>
              <w:spacing w:line="360" w:lineRule="auto"/>
              <w:jc w:val="center"/>
              <w:rPr>
                <w:rFonts w:ascii="Arial" w:hAnsi="Arial" w:cs="Arial"/>
                <w:b/>
              </w:rPr>
            </w:pPr>
            <w:r w:rsidRPr="00E0793D">
              <w:rPr>
                <w:rFonts w:ascii="Arial" w:hAnsi="Arial" w:cs="Arial"/>
                <w:b/>
                <w:sz w:val="22"/>
                <w:szCs w:val="22"/>
              </w:rPr>
              <w:t xml:space="preserve">del Texto de Referencia (Ley </w:t>
            </w:r>
            <w:r w:rsidR="00FA3398" w:rsidRPr="00E0793D">
              <w:rPr>
                <w:rFonts w:ascii="Arial" w:hAnsi="Arial" w:cs="Arial"/>
                <w:b/>
                <w:sz w:val="22"/>
                <w:szCs w:val="22"/>
              </w:rPr>
              <w:t>3</w:t>
            </w:r>
            <w:r w:rsidR="00854A5C">
              <w:rPr>
                <w:rFonts w:ascii="Arial" w:hAnsi="Arial" w:cs="Arial"/>
                <w:b/>
                <w:sz w:val="22"/>
                <w:szCs w:val="22"/>
              </w:rPr>
              <w:t>.</w:t>
            </w:r>
            <w:r w:rsidR="00FA3398" w:rsidRPr="00E0793D">
              <w:rPr>
                <w:rFonts w:ascii="Arial" w:hAnsi="Arial" w:cs="Arial"/>
                <w:b/>
                <w:sz w:val="22"/>
                <w:szCs w:val="22"/>
              </w:rPr>
              <w:t>630</w:t>
            </w:r>
            <w:r w:rsidR="0009329B" w:rsidRPr="00E0793D">
              <w:rPr>
                <w:rFonts w:ascii="Arial" w:hAnsi="Arial" w:cs="Arial"/>
                <w:b/>
                <w:sz w:val="22"/>
                <w:szCs w:val="22"/>
              </w:rPr>
              <w:t>)</w:t>
            </w:r>
          </w:p>
        </w:tc>
        <w:tc>
          <w:tcPr>
            <w:tcW w:w="2412" w:type="dxa"/>
            <w:vAlign w:val="center"/>
          </w:tcPr>
          <w:p w:rsidR="0009329B" w:rsidRPr="00E0793D" w:rsidRDefault="0009329B" w:rsidP="00E0793D">
            <w:pPr>
              <w:spacing w:line="360" w:lineRule="auto"/>
              <w:jc w:val="center"/>
              <w:rPr>
                <w:rFonts w:ascii="Arial" w:hAnsi="Arial" w:cs="Arial"/>
                <w:b/>
              </w:rPr>
            </w:pPr>
            <w:r w:rsidRPr="00E0793D">
              <w:rPr>
                <w:rFonts w:ascii="Arial" w:hAnsi="Arial" w:cs="Arial"/>
                <w:b/>
                <w:sz w:val="22"/>
                <w:szCs w:val="22"/>
              </w:rPr>
              <w:t>Observaciones</w:t>
            </w:r>
          </w:p>
        </w:tc>
      </w:tr>
      <w:tr w:rsidR="0009329B" w:rsidRPr="00E0793D" w:rsidTr="003A2640">
        <w:trPr>
          <w:jc w:val="center"/>
        </w:trPr>
        <w:tc>
          <w:tcPr>
            <w:tcW w:w="8969" w:type="dxa"/>
            <w:gridSpan w:val="3"/>
          </w:tcPr>
          <w:p w:rsidR="0009329B" w:rsidRPr="00E0793D" w:rsidRDefault="0009329B" w:rsidP="00854A5C">
            <w:pPr>
              <w:spacing w:line="360" w:lineRule="auto"/>
              <w:jc w:val="center"/>
              <w:rPr>
                <w:rFonts w:ascii="Arial" w:hAnsi="Arial" w:cs="Arial"/>
              </w:rPr>
            </w:pPr>
            <w:r w:rsidRPr="00E0793D">
              <w:rPr>
                <w:rFonts w:ascii="Arial" w:hAnsi="Arial" w:cs="Arial"/>
                <w:sz w:val="22"/>
                <w:szCs w:val="22"/>
              </w:rPr>
              <w:t xml:space="preserve">La numeración de los artículos del Texto Definitivo corresponde a la numeración original de la Ley </w:t>
            </w:r>
            <w:r w:rsidR="00FA3398" w:rsidRPr="00E0793D">
              <w:rPr>
                <w:rFonts w:ascii="Arial" w:hAnsi="Arial" w:cs="Arial"/>
                <w:sz w:val="22"/>
                <w:szCs w:val="22"/>
              </w:rPr>
              <w:t>3</w:t>
            </w:r>
            <w:r w:rsidR="00854A5C">
              <w:rPr>
                <w:rFonts w:ascii="Arial" w:hAnsi="Arial" w:cs="Arial"/>
                <w:sz w:val="22"/>
                <w:szCs w:val="22"/>
              </w:rPr>
              <w:t>.</w:t>
            </w:r>
            <w:r w:rsidR="00FA3398" w:rsidRPr="00E0793D">
              <w:rPr>
                <w:rFonts w:ascii="Arial" w:hAnsi="Arial" w:cs="Arial"/>
                <w:sz w:val="22"/>
                <w:szCs w:val="22"/>
              </w:rPr>
              <w:t>630</w:t>
            </w:r>
            <w:r w:rsidRPr="00E0793D">
              <w:rPr>
                <w:rFonts w:ascii="Arial" w:hAnsi="Arial" w:cs="Arial"/>
                <w:sz w:val="22"/>
                <w:szCs w:val="22"/>
              </w:rPr>
              <w:t>.</w:t>
            </w:r>
          </w:p>
        </w:tc>
      </w:tr>
    </w:tbl>
    <w:p w:rsidR="0009329B" w:rsidRPr="00E0793D" w:rsidRDefault="0009329B" w:rsidP="00E0793D">
      <w:pPr>
        <w:spacing w:line="360" w:lineRule="auto"/>
        <w:rPr>
          <w:rFonts w:ascii="Arial" w:hAnsi="Arial" w:cs="Arial"/>
          <w:sz w:val="22"/>
          <w:szCs w:val="22"/>
        </w:rPr>
      </w:pPr>
    </w:p>
    <w:p w:rsidR="0009329B" w:rsidRPr="00E0793D" w:rsidRDefault="00F914CB" w:rsidP="00E0793D">
      <w:pPr>
        <w:spacing w:line="360" w:lineRule="auto"/>
        <w:rPr>
          <w:rFonts w:ascii="Arial" w:hAnsi="Arial" w:cs="Arial"/>
          <w:b/>
          <w:sz w:val="22"/>
          <w:szCs w:val="22"/>
        </w:rPr>
      </w:pPr>
      <w:r w:rsidRPr="00E0793D">
        <w:rPr>
          <w:rFonts w:ascii="Arial" w:hAnsi="Arial" w:cs="Arial"/>
          <w:b/>
          <w:sz w:val="22"/>
          <w:szCs w:val="22"/>
          <w:u w:val="single"/>
        </w:rPr>
        <w:t>Observaciones Generales</w:t>
      </w:r>
      <w:r w:rsidRPr="00E0793D">
        <w:rPr>
          <w:rFonts w:ascii="Arial" w:hAnsi="Arial" w:cs="Arial"/>
          <w:b/>
          <w:sz w:val="22"/>
          <w:szCs w:val="22"/>
        </w:rPr>
        <w:t>:</w:t>
      </w:r>
    </w:p>
    <w:p w:rsidR="005C389B" w:rsidRPr="00E0793D" w:rsidRDefault="005C389B" w:rsidP="00E0793D">
      <w:pPr>
        <w:spacing w:line="360" w:lineRule="auto"/>
        <w:rPr>
          <w:rFonts w:ascii="Arial" w:hAnsi="Arial" w:cs="Arial"/>
          <w:sz w:val="22"/>
          <w:szCs w:val="22"/>
        </w:rPr>
      </w:pPr>
      <w:r w:rsidRPr="00E0793D">
        <w:rPr>
          <w:rFonts w:ascii="Arial" w:hAnsi="Arial" w:cs="Arial"/>
          <w:sz w:val="22"/>
          <w:szCs w:val="22"/>
        </w:rPr>
        <w:t># La presente Norma contiene remisiones externas #</w:t>
      </w:r>
    </w:p>
    <w:p w:rsidR="005C389B" w:rsidRPr="00E0793D" w:rsidRDefault="005C389B" w:rsidP="00E0793D">
      <w:pPr>
        <w:spacing w:line="360" w:lineRule="auto"/>
        <w:rPr>
          <w:rFonts w:ascii="Arial" w:hAnsi="Arial" w:cs="Arial"/>
          <w:sz w:val="22"/>
          <w:szCs w:val="22"/>
        </w:rPr>
      </w:pPr>
    </w:p>
    <w:sectPr w:rsidR="005C389B" w:rsidRPr="00E0793D" w:rsidSect="00E0793D">
      <w:pgSz w:w="11907" w:h="16839" w:code="9"/>
      <w:pgMar w:top="1440" w:right="1080" w:bottom="1440" w:left="108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27B28C2"/>
    <w:multiLevelType w:val="hybridMultilevel"/>
    <w:tmpl w:val="88F83BE2"/>
    <w:lvl w:ilvl="0" w:tplc="2C0A000F">
      <w:start w:val="1"/>
      <w:numFmt w:val="decimal"/>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
    <w:nsid w:val="6EA464CA"/>
    <w:multiLevelType w:val="hybridMultilevel"/>
    <w:tmpl w:val="EA9AC22C"/>
    <w:lvl w:ilvl="0" w:tplc="2C0A0019">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drawingGridHorizontalSpacing w:val="120"/>
  <w:displayHorizontalDrawingGridEvery w:val="2"/>
  <w:characterSpacingControl w:val="doNotCompress"/>
  <w:compat/>
  <w:rsids>
    <w:rsidRoot w:val="0009329B"/>
    <w:rsid w:val="0009329B"/>
    <w:rsid w:val="00100A60"/>
    <w:rsid w:val="002B476A"/>
    <w:rsid w:val="002D2DC8"/>
    <w:rsid w:val="00333DA6"/>
    <w:rsid w:val="003A2640"/>
    <w:rsid w:val="004A7641"/>
    <w:rsid w:val="005C0D00"/>
    <w:rsid w:val="005C389B"/>
    <w:rsid w:val="005D403A"/>
    <w:rsid w:val="006506AC"/>
    <w:rsid w:val="006B1B39"/>
    <w:rsid w:val="00854A5C"/>
    <w:rsid w:val="0088245C"/>
    <w:rsid w:val="00A476C0"/>
    <w:rsid w:val="00BF0F88"/>
    <w:rsid w:val="00C67C06"/>
    <w:rsid w:val="00C746EB"/>
    <w:rsid w:val="00E0793D"/>
    <w:rsid w:val="00F76F73"/>
    <w:rsid w:val="00F914CB"/>
    <w:rsid w:val="00FA3398"/>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329B"/>
    <w:pPr>
      <w:spacing w:after="0" w:line="240" w:lineRule="auto"/>
    </w:pPr>
    <w:rPr>
      <w:rFonts w:ascii="Times New Roman" w:eastAsia="Times New Roman" w:hAnsi="Times New Roman" w:cs="Times New Roman"/>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rsid w:val="0009329B"/>
    <w:pPr>
      <w:spacing w:before="100" w:beforeAutospacing="1" w:after="100" w:afterAutospacing="1"/>
    </w:pPr>
  </w:style>
  <w:style w:type="paragraph" w:styleId="Textosinformato">
    <w:name w:val="Plain Text"/>
    <w:basedOn w:val="Normal"/>
    <w:link w:val="TextosinformatoCar"/>
    <w:rsid w:val="0009329B"/>
    <w:rPr>
      <w:rFonts w:ascii="Courier New" w:hAnsi="Courier New"/>
      <w:sz w:val="20"/>
    </w:rPr>
  </w:style>
  <w:style w:type="character" w:customStyle="1" w:styleId="TextosinformatoCar">
    <w:name w:val="Texto sin formato Car"/>
    <w:basedOn w:val="Fuentedeprrafopredeter"/>
    <w:link w:val="Textosinformato"/>
    <w:rsid w:val="0009329B"/>
    <w:rPr>
      <w:rFonts w:ascii="Courier New" w:eastAsia="Times New Roman" w:hAnsi="Courier New" w:cs="Times New Roman"/>
      <w:sz w:val="20"/>
      <w:szCs w:val="24"/>
      <w:lang w:val="es-ES" w:eastAsia="es-ES"/>
    </w:rPr>
  </w:style>
  <w:style w:type="paragraph" w:styleId="Prrafodelista">
    <w:name w:val="List Paragraph"/>
    <w:basedOn w:val="Normal"/>
    <w:uiPriority w:val="34"/>
    <w:qFormat/>
    <w:rsid w:val="00854A5C"/>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2</Pages>
  <Words>570</Words>
  <Characters>3135</Characters>
  <Application>Microsoft Office Word</Application>
  <DocSecurity>0</DocSecurity>
  <Lines>26</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3698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Usuario</cp:lastModifiedBy>
  <cp:revision>5</cp:revision>
  <dcterms:created xsi:type="dcterms:W3CDTF">2014-09-03T18:46:00Z</dcterms:created>
  <dcterms:modified xsi:type="dcterms:W3CDTF">2015-09-28T18:49:00Z</dcterms:modified>
</cp:coreProperties>
</file>