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3E2CF6" w:rsidP="00A3581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3581F">
        <w:rPr>
          <w:rFonts w:ascii="Arial" w:hAnsi="Arial" w:cs="Arial"/>
          <w:b/>
          <w:sz w:val="22"/>
          <w:szCs w:val="22"/>
        </w:rPr>
        <w:t>LC-3618</w:t>
      </w:r>
    </w:p>
    <w:p w:rsidR="00C75B86" w:rsidRDefault="00C75B86" w:rsidP="00A3581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3581F" w:rsidRPr="00A3581F" w:rsidRDefault="00C75B86" w:rsidP="00A3581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75B86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C75B86">
        <w:rPr>
          <w:rFonts w:ascii="Arial" w:hAnsi="Arial" w:cs="Arial"/>
          <w:b/>
          <w:sz w:val="22"/>
          <w:szCs w:val="22"/>
        </w:rPr>
        <w:t>618</w:t>
      </w:r>
    </w:p>
    <w:p w:rsidR="00A3581F" w:rsidRDefault="00A3581F" w:rsidP="00A3581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E2CF6" w:rsidRPr="00A3581F" w:rsidRDefault="003E2CF6" w:rsidP="00A3581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3581F">
        <w:rPr>
          <w:rFonts w:ascii="Arial" w:hAnsi="Arial" w:cs="Arial"/>
          <w:sz w:val="22"/>
          <w:szCs w:val="22"/>
        </w:rPr>
        <w:t>Artículo 1º.- Declarase integrante del patrimonio cultural de la Ciudad Autónoma de Buenos Aires, en los términos del art. 4, inc. h) de la Ley 1.227 #, los murales denominados “La Gesta Libertadora”, ubicados en la estación San Martín de la línea C de subterráneos, del artista Rodolfo R. Medina.</w:t>
      </w:r>
    </w:p>
    <w:p w:rsidR="00A3581F" w:rsidRDefault="00A3581F" w:rsidP="00A3581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E2CF6" w:rsidRPr="00A3581F" w:rsidRDefault="003E2CF6" w:rsidP="00A3581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3581F">
        <w:rPr>
          <w:rFonts w:ascii="Arial" w:hAnsi="Arial" w:cs="Arial"/>
          <w:sz w:val="22"/>
          <w:szCs w:val="22"/>
        </w:rPr>
        <w:t xml:space="preserve">Artículo 2º.- </w:t>
      </w:r>
      <w:proofErr w:type="spellStart"/>
      <w:r w:rsidRPr="00A3581F">
        <w:rPr>
          <w:rFonts w:ascii="Arial" w:hAnsi="Arial" w:cs="Arial"/>
          <w:sz w:val="22"/>
          <w:szCs w:val="22"/>
        </w:rPr>
        <w:t>Encomiéndase</w:t>
      </w:r>
      <w:proofErr w:type="spellEnd"/>
      <w:r w:rsidRPr="00A3581F">
        <w:rPr>
          <w:rFonts w:ascii="Arial" w:hAnsi="Arial" w:cs="Arial"/>
          <w:sz w:val="22"/>
          <w:szCs w:val="22"/>
        </w:rPr>
        <w:t xml:space="preserve"> al Poder Ejecutivo que en el término de noventa (90) días de la publicación de la presente, realice las tareas de restauración y puesta en valor de los murales declarados por el artículo 1º, las que deberán incluir además:</w:t>
      </w:r>
    </w:p>
    <w:p w:rsidR="003E2CF6" w:rsidRPr="00A3581F" w:rsidRDefault="003E2CF6" w:rsidP="00C75B86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3581F">
        <w:rPr>
          <w:rFonts w:ascii="Arial" w:hAnsi="Arial" w:cs="Arial"/>
          <w:sz w:val="22"/>
          <w:szCs w:val="22"/>
        </w:rPr>
        <w:t>-</w:t>
      </w:r>
      <w:r w:rsidR="00C75B86">
        <w:rPr>
          <w:rFonts w:ascii="Arial" w:hAnsi="Arial" w:cs="Arial"/>
          <w:sz w:val="22"/>
          <w:szCs w:val="22"/>
        </w:rPr>
        <w:tab/>
      </w:r>
      <w:r w:rsidRPr="00A3581F">
        <w:rPr>
          <w:rFonts w:ascii="Arial" w:hAnsi="Arial" w:cs="Arial"/>
          <w:sz w:val="22"/>
          <w:szCs w:val="22"/>
        </w:rPr>
        <w:t>Reinstalación del sistema de iluminación necesario para su valoración.</w:t>
      </w:r>
    </w:p>
    <w:p w:rsidR="003E2CF6" w:rsidRPr="00A3581F" w:rsidRDefault="003E2CF6" w:rsidP="00C75B86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3581F">
        <w:rPr>
          <w:rFonts w:ascii="Arial" w:hAnsi="Arial" w:cs="Arial"/>
          <w:sz w:val="22"/>
          <w:szCs w:val="22"/>
        </w:rPr>
        <w:t>-</w:t>
      </w:r>
      <w:r w:rsidR="00C75B86">
        <w:rPr>
          <w:rFonts w:ascii="Arial" w:hAnsi="Arial" w:cs="Arial"/>
          <w:sz w:val="22"/>
          <w:szCs w:val="22"/>
        </w:rPr>
        <w:tab/>
      </w:r>
      <w:r w:rsidRPr="00A3581F">
        <w:rPr>
          <w:rFonts w:ascii="Arial" w:hAnsi="Arial" w:cs="Arial"/>
          <w:sz w:val="22"/>
          <w:szCs w:val="22"/>
        </w:rPr>
        <w:t>Establecimiento de los mecanismos necesarios para su posterior mantenimiento.</w:t>
      </w:r>
    </w:p>
    <w:p w:rsidR="003E2CF6" w:rsidRPr="00A3581F" w:rsidRDefault="003E2CF6" w:rsidP="00C75B86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3581F">
        <w:rPr>
          <w:rFonts w:ascii="Arial" w:hAnsi="Arial" w:cs="Arial"/>
          <w:sz w:val="22"/>
          <w:szCs w:val="22"/>
        </w:rPr>
        <w:t>-</w:t>
      </w:r>
      <w:r w:rsidR="00C75B86">
        <w:rPr>
          <w:rFonts w:ascii="Arial" w:hAnsi="Arial" w:cs="Arial"/>
          <w:sz w:val="22"/>
          <w:szCs w:val="22"/>
        </w:rPr>
        <w:tab/>
      </w:r>
      <w:r w:rsidRPr="00A3581F">
        <w:rPr>
          <w:rFonts w:ascii="Arial" w:hAnsi="Arial" w:cs="Arial"/>
          <w:sz w:val="22"/>
          <w:szCs w:val="22"/>
        </w:rPr>
        <w:t>Instalación de placas explicativas de la obra.</w:t>
      </w:r>
    </w:p>
    <w:p w:rsidR="00A3581F" w:rsidRDefault="00A3581F" w:rsidP="00A3581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E2CF6" w:rsidRPr="00A3581F" w:rsidRDefault="003E2CF6" w:rsidP="00A3581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3581F">
        <w:rPr>
          <w:rFonts w:ascii="Arial" w:hAnsi="Arial" w:cs="Arial"/>
          <w:sz w:val="22"/>
          <w:szCs w:val="22"/>
        </w:rPr>
        <w:t>Artículo 3º.- Los gastos que demande el cumplimiento de la presente Ley serán imputados a la partida presupuestaria del ejercicio vigente.</w:t>
      </w:r>
    </w:p>
    <w:p w:rsidR="0009329B" w:rsidRPr="00A3581F" w:rsidRDefault="0009329B" w:rsidP="00A3581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3581F" w:rsidTr="00A3581F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A3581F" w:rsidRDefault="0009329B" w:rsidP="00A3581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E2CF6" w:rsidRPr="00A3581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3581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3581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E2CF6" w:rsidRPr="00A3581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75B8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E2CF6" w:rsidRPr="00A3581F">
              <w:rPr>
                <w:rFonts w:ascii="Arial" w:hAnsi="Arial" w:cs="Arial"/>
                <w:b/>
                <w:sz w:val="22"/>
                <w:szCs w:val="22"/>
              </w:rPr>
              <w:t>618</w:t>
            </w:r>
          </w:p>
          <w:p w:rsidR="0009329B" w:rsidRPr="00A3581F" w:rsidRDefault="0009329B" w:rsidP="00A358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3581F" w:rsidTr="00A3581F">
        <w:trPr>
          <w:jc w:val="center"/>
        </w:trPr>
        <w:tc>
          <w:tcPr>
            <w:tcW w:w="3780" w:type="dxa"/>
            <w:vAlign w:val="center"/>
          </w:tcPr>
          <w:p w:rsidR="0009329B" w:rsidRPr="00A3581F" w:rsidRDefault="0009329B" w:rsidP="00A358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A3581F" w:rsidRDefault="0009329B" w:rsidP="00A358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3581F" w:rsidRDefault="0009329B" w:rsidP="00A358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3581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A3581F" w:rsidRDefault="0009329B" w:rsidP="00A3581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A3581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3E2CF6" w:rsidRPr="00A3581F">
              <w:rPr>
                <w:rFonts w:ascii="Arial" w:hAnsi="Arial" w:cs="Arial"/>
                <w:sz w:val="22"/>
                <w:szCs w:val="22"/>
              </w:rPr>
              <w:t>3</w:t>
            </w:r>
            <w:r w:rsidR="00C75B86">
              <w:rPr>
                <w:rFonts w:ascii="Arial" w:hAnsi="Arial" w:cs="Arial"/>
                <w:sz w:val="22"/>
                <w:szCs w:val="22"/>
              </w:rPr>
              <w:t>.</w:t>
            </w:r>
            <w:r w:rsidR="003E2CF6" w:rsidRPr="00A3581F">
              <w:rPr>
                <w:rFonts w:ascii="Arial" w:hAnsi="Arial" w:cs="Arial"/>
                <w:sz w:val="22"/>
                <w:szCs w:val="22"/>
              </w:rPr>
              <w:t>618</w:t>
            </w:r>
            <w:r w:rsidRPr="00A3581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3581F" w:rsidRDefault="0009329B" w:rsidP="00A3581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30"/>
        <w:gridCol w:w="3969"/>
        <w:gridCol w:w="2270"/>
      </w:tblGrid>
      <w:tr w:rsidR="0009329B" w:rsidRPr="00A3581F" w:rsidTr="00A3581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3581F" w:rsidRDefault="0009329B" w:rsidP="00A3581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E2CF6" w:rsidRPr="00A3581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3581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3581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E2CF6" w:rsidRPr="00A3581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75B8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E2CF6" w:rsidRPr="00A3581F">
              <w:rPr>
                <w:rFonts w:ascii="Arial" w:hAnsi="Arial" w:cs="Arial"/>
                <w:b/>
                <w:sz w:val="22"/>
                <w:szCs w:val="22"/>
              </w:rPr>
              <w:t>618</w:t>
            </w:r>
          </w:p>
          <w:p w:rsidR="0009329B" w:rsidRPr="00A3581F" w:rsidRDefault="0009329B" w:rsidP="00A358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3581F" w:rsidTr="00A3581F">
        <w:trPr>
          <w:jc w:val="center"/>
        </w:trPr>
        <w:tc>
          <w:tcPr>
            <w:tcW w:w="2730" w:type="dxa"/>
            <w:vAlign w:val="center"/>
          </w:tcPr>
          <w:p w:rsidR="0009329B" w:rsidRPr="00A3581F" w:rsidRDefault="0009329B" w:rsidP="00A3581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3581F" w:rsidRDefault="0009329B" w:rsidP="00A3581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69" w:type="dxa"/>
            <w:vAlign w:val="center"/>
          </w:tcPr>
          <w:p w:rsidR="0009329B" w:rsidRPr="00A3581F" w:rsidRDefault="0009329B" w:rsidP="00A3581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3581F" w:rsidRDefault="003A2640" w:rsidP="00A3581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3E2CF6" w:rsidRPr="00A3581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75B8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E2CF6" w:rsidRPr="00A3581F">
              <w:rPr>
                <w:rFonts w:ascii="Arial" w:hAnsi="Arial" w:cs="Arial"/>
                <w:b/>
                <w:sz w:val="22"/>
                <w:szCs w:val="22"/>
              </w:rPr>
              <w:t>618</w:t>
            </w:r>
            <w:r w:rsidR="0009329B" w:rsidRPr="00A3581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270" w:type="dxa"/>
            <w:vAlign w:val="center"/>
          </w:tcPr>
          <w:p w:rsidR="0009329B" w:rsidRPr="00A3581F" w:rsidRDefault="0009329B" w:rsidP="00A3581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581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3581F" w:rsidTr="003A2640">
        <w:trPr>
          <w:jc w:val="center"/>
        </w:trPr>
        <w:tc>
          <w:tcPr>
            <w:tcW w:w="8969" w:type="dxa"/>
            <w:gridSpan w:val="3"/>
          </w:tcPr>
          <w:p w:rsidR="0009329B" w:rsidRPr="00A3581F" w:rsidRDefault="0009329B" w:rsidP="00C75B8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3581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E2CF6" w:rsidRPr="00A3581F">
              <w:rPr>
                <w:rFonts w:ascii="Arial" w:hAnsi="Arial" w:cs="Arial"/>
                <w:sz w:val="22"/>
                <w:szCs w:val="22"/>
              </w:rPr>
              <w:t>3</w:t>
            </w:r>
            <w:r w:rsidR="00C75B86">
              <w:rPr>
                <w:rFonts w:ascii="Arial" w:hAnsi="Arial" w:cs="Arial"/>
                <w:sz w:val="22"/>
                <w:szCs w:val="22"/>
              </w:rPr>
              <w:t>.</w:t>
            </w:r>
            <w:r w:rsidR="003E2CF6" w:rsidRPr="00A3581F">
              <w:rPr>
                <w:rFonts w:ascii="Arial" w:hAnsi="Arial" w:cs="Arial"/>
                <w:sz w:val="22"/>
                <w:szCs w:val="22"/>
              </w:rPr>
              <w:t>618</w:t>
            </w:r>
            <w:r w:rsidRPr="00A3581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3581F" w:rsidRDefault="0009329B" w:rsidP="00A3581F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3581F" w:rsidRDefault="00F914CB" w:rsidP="00A3581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3581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3581F">
        <w:rPr>
          <w:rFonts w:ascii="Arial" w:hAnsi="Arial" w:cs="Arial"/>
          <w:b/>
          <w:sz w:val="22"/>
          <w:szCs w:val="22"/>
        </w:rPr>
        <w:t>:</w:t>
      </w:r>
    </w:p>
    <w:p w:rsidR="003E2CF6" w:rsidRPr="00A3581F" w:rsidRDefault="003E2CF6" w:rsidP="00A3581F">
      <w:pPr>
        <w:spacing w:line="360" w:lineRule="auto"/>
        <w:rPr>
          <w:rFonts w:ascii="Arial" w:hAnsi="Arial" w:cs="Arial"/>
          <w:sz w:val="22"/>
          <w:szCs w:val="22"/>
        </w:rPr>
      </w:pPr>
      <w:r w:rsidRPr="00A3581F">
        <w:rPr>
          <w:rFonts w:ascii="Arial" w:hAnsi="Arial"/>
          <w:sz w:val="22"/>
          <w:szCs w:val="22"/>
        </w:rPr>
        <w:t># La presente Norma contiene remisiones externas #</w:t>
      </w:r>
    </w:p>
    <w:sectPr w:rsidR="003E2CF6" w:rsidRPr="00A3581F" w:rsidSect="00A3581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3E2CF6"/>
    <w:rsid w:val="004A7641"/>
    <w:rsid w:val="005C0D00"/>
    <w:rsid w:val="005D403A"/>
    <w:rsid w:val="006506AC"/>
    <w:rsid w:val="00676849"/>
    <w:rsid w:val="006B1B39"/>
    <w:rsid w:val="00A3581F"/>
    <w:rsid w:val="00A476C0"/>
    <w:rsid w:val="00B40AE8"/>
    <w:rsid w:val="00BC2E97"/>
    <w:rsid w:val="00BF0F88"/>
    <w:rsid w:val="00C67C06"/>
    <w:rsid w:val="00C75B8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2015-09-28T18:47:00Z</dcterms:modified>
</cp:coreProperties>
</file>