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F79EA" w:rsidRDefault="00AF573C" w:rsidP="00AF79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F79EA">
        <w:rPr>
          <w:rFonts w:ascii="Arial" w:hAnsi="Arial" w:cs="Arial"/>
          <w:b/>
          <w:sz w:val="22"/>
          <w:szCs w:val="22"/>
        </w:rPr>
        <w:t>LC-3322</w:t>
      </w:r>
    </w:p>
    <w:p w:rsidR="00B35C92" w:rsidRDefault="00B35C92" w:rsidP="00AF79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E00AB" w:rsidRPr="00AF79EA" w:rsidRDefault="007B08CA" w:rsidP="00AF79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B08CA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7B08CA">
        <w:rPr>
          <w:rFonts w:ascii="Arial" w:hAnsi="Arial" w:cs="Arial"/>
          <w:b/>
          <w:sz w:val="22"/>
          <w:szCs w:val="22"/>
        </w:rPr>
        <w:t>322</w:t>
      </w:r>
    </w:p>
    <w:p w:rsidR="00FE00AB" w:rsidRDefault="00FE00AB" w:rsidP="00FE00A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F573C" w:rsidRPr="00AF79EA" w:rsidRDefault="00AF573C" w:rsidP="00FE00A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F79EA">
        <w:rPr>
          <w:rFonts w:ascii="Arial" w:hAnsi="Arial" w:cs="Arial"/>
          <w:sz w:val="22"/>
          <w:szCs w:val="22"/>
          <w:lang w:val="es-AR"/>
        </w:rPr>
        <w:t>Artículo 1°.- Declárase Bien Cultural, en la categoría “Colecciones y Objetos“, del Art. 4°, Inc. h) de la Ley 1.227 #, los murales</w:t>
      </w:r>
    </w:p>
    <w:p w:rsidR="00AF573C" w:rsidRPr="001851DA" w:rsidRDefault="00AF573C" w:rsidP="001851D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 xml:space="preserve">De Juan Carlos </w:t>
      </w:r>
      <w:proofErr w:type="spellStart"/>
      <w:r w:rsidRPr="001851DA">
        <w:rPr>
          <w:rFonts w:ascii="Arial" w:hAnsi="Arial" w:cs="Arial"/>
          <w:sz w:val="22"/>
          <w:szCs w:val="22"/>
          <w:lang w:val="es-AR"/>
        </w:rPr>
        <w:t>Castagnino</w:t>
      </w:r>
      <w:proofErr w:type="spellEnd"/>
      <w:r w:rsidRPr="001851DA">
        <w:rPr>
          <w:rFonts w:ascii="Arial" w:hAnsi="Arial" w:cs="Arial"/>
          <w:sz w:val="22"/>
          <w:szCs w:val="22"/>
          <w:lang w:val="es-AR"/>
        </w:rPr>
        <w:t xml:space="preserve"> emplazados en los siguientes edificios y galerías:</w:t>
      </w:r>
    </w:p>
    <w:p w:rsidR="00AF573C" w:rsidRDefault="00AF573C" w:rsidP="001851DA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“Despertar en la llanura“, Galería del Obelisco, Av. Corrientes 1145.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“Homenaje al cine“, Librería Losada, Av. Corrientes 1551.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 xml:space="preserve">“El teatro es escuela para adultos“, Teatro IFT, </w:t>
      </w:r>
      <w:proofErr w:type="spellStart"/>
      <w:r w:rsidRPr="001851DA">
        <w:rPr>
          <w:rFonts w:ascii="Arial" w:hAnsi="Arial" w:cs="Arial"/>
          <w:sz w:val="22"/>
          <w:szCs w:val="22"/>
          <w:lang w:val="es-AR"/>
        </w:rPr>
        <w:t>Boulogne</w:t>
      </w:r>
      <w:proofErr w:type="spellEnd"/>
      <w:r w:rsidRPr="001851DA">
        <w:rPr>
          <w:rFonts w:ascii="Arial" w:hAnsi="Arial" w:cs="Arial"/>
          <w:sz w:val="22"/>
          <w:szCs w:val="22"/>
          <w:lang w:val="es-AR"/>
        </w:rPr>
        <w:t xml:space="preserve"> Sur </w:t>
      </w:r>
      <w:proofErr w:type="spellStart"/>
      <w:r w:rsidRPr="001851DA">
        <w:rPr>
          <w:rFonts w:ascii="Arial" w:hAnsi="Arial" w:cs="Arial"/>
          <w:sz w:val="22"/>
          <w:szCs w:val="22"/>
          <w:lang w:val="es-AR"/>
        </w:rPr>
        <w:t>Mer</w:t>
      </w:r>
      <w:proofErr w:type="spellEnd"/>
      <w:r w:rsidRPr="001851DA">
        <w:rPr>
          <w:rFonts w:ascii="Arial" w:hAnsi="Arial" w:cs="Arial"/>
          <w:sz w:val="22"/>
          <w:szCs w:val="22"/>
          <w:lang w:val="es-AR"/>
        </w:rPr>
        <w:t xml:space="preserve"> 547.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“La ofrenda de la nueva tierra“, Sociedad Hebraica Argentina, Sarmiento 2233.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“Hombre, Espacio, esperanza“, Galería París, Av. Rivadavia 4975.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“La fraternidad“, Galería San José de Flores, Av. Rivadavia 6836.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“La fertilidad“, Galería San José de Flores, Av. Rivadavia 6836.</w:t>
      </w:r>
    </w:p>
    <w:p w:rsidR="00AF573C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Mural situado en hall de entrada del edificio de Paraguay 1307.</w:t>
      </w:r>
    </w:p>
    <w:p w:rsidR="00AF573C" w:rsidRPr="001851DA" w:rsidRDefault="00AF573C" w:rsidP="00FE00AB">
      <w:pPr>
        <w:pStyle w:val="Prrafodelista"/>
        <w:numPr>
          <w:ilvl w:val="1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 xml:space="preserve">Mural situado en el hall de entrada de </w:t>
      </w:r>
      <w:proofErr w:type="spellStart"/>
      <w:r w:rsidRPr="001851DA">
        <w:rPr>
          <w:rFonts w:ascii="Arial" w:hAnsi="Arial" w:cs="Arial"/>
          <w:sz w:val="22"/>
          <w:szCs w:val="22"/>
          <w:lang w:val="es-AR"/>
        </w:rPr>
        <w:t>Viamonte</w:t>
      </w:r>
      <w:proofErr w:type="spellEnd"/>
      <w:r w:rsidRPr="001851DA">
        <w:rPr>
          <w:rFonts w:ascii="Arial" w:hAnsi="Arial" w:cs="Arial"/>
          <w:sz w:val="22"/>
          <w:szCs w:val="22"/>
          <w:lang w:val="es-AR"/>
        </w:rPr>
        <w:t xml:space="preserve"> 2660.</w:t>
      </w:r>
    </w:p>
    <w:p w:rsidR="00AF573C" w:rsidRPr="001851DA" w:rsidRDefault="00AF573C" w:rsidP="001851D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De Antonio Berni, emplazados en los siguientes edificios:</w:t>
      </w:r>
    </w:p>
    <w:p w:rsidR="00AF573C" w:rsidRDefault="00AF573C" w:rsidP="001851DA">
      <w:pPr>
        <w:pStyle w:val="Prrafodelista"/>
        <w:numPr>
          <w:ilvl w:val="1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“Alegorías de la ciudad moderna“, Urquiza 41, hall de entrada.</w:t>
      </w:r>
    </w:p>
    <w:p w:rsidR="00AF573C" w:rsidRDefault="00AF573C" w:rsidP="00FE00AB">
      <w:pPr>
        <w:pStyle w:val="Prrafodelista"/>
        <w:numPr>
          <w:ilvl w:val="1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Mural situado en República Árabe Siria 2637, hall de entrada.</w:t>
      </w:r>
    </w:p>
    <w:p w:rsidR="00AF573C" w:rsidRDefault="00AF573C" w:rsidP="00FE00AB">
      <w:pPr>
        <w:pStyle w:val="Prrafodelista"/>
        <w:numPr>
          <w:ilvl w:val="1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Mural situado en Juan B. Justo 2720, hall de entrada.</w:t>
      </w:r>
    </w:p>
    <w:p w:rsidR="00AF573C" w:rsidRPr="001851DA" w:rsidRDefault="00AF573C" w:rsidP="00FE00AB">
      <w:pPr>
        <w:pStyle w:val="Prrafodelista"/>
        <w:numPr>
          <w:ilvl w:val="1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1851DA">
        <w:rPr>
          <w:rFonts w:ascii="Arial" w:hAnsi="Arial" w:cs="Arial"/>
          <w:sz w:val="22"/>
          <w:szCs w:val="22"/>
          <w:lang w:val="es-AR"/>
        </w:rPr>
        <w:t>“Las Artes” situado en Sarmiento 2233, Sociedad Hebraica Argentina.</w:t>
      </w:r>
    </w:p>
    <w:p w:rsidR="00FE00AB" w:rsidRDefault="00FE00AB" w:rsidP="00AF79E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F573C" w:rsidRDefault="00AF573C" w:rsidP="00AF79E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F79EA">
        <w:rPr>
          <w:rFonts w:ascii="Arial" w:hAnsi="Arial" w:cs="Arial"/>
          <w:sz w:val="22"/>
          <w:szCs w:val="22"/>
          <w:lang w:val="es-AR"/>
        </w:rPr>
        <w:t>Artículo 2°.- Encomiéndese al órgano de Aplicación de la citada Ley 1227 #, implementar los medios necesarios para garantizar la restauración, conservación y puesta en valor de los murales declarados en el artículo 1°.</w:t>
      </w:r>
    </w:p>
    <w:p w:rsidR="00E569A8" w:rsidRPr="00AF79EA" w:rsidRDefault="00E569A8" w:rsidP="00AF79E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F79EA" w:rsidTr="00FE00AB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AF79EA" w:rsidRDefault="0009329B" w:rsidP="00B35C9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F79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F79E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851D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322</w:t>
            </w:r>
          </w:p>
          <w:p w:rsidR="0009329B" w:rsidRPr="00AF79EA" w:rsidRDefault="0009329B" w:rsidP="00FE00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F79EA" w:rsidTr="00FE00AB">
        <w:trPr>
          <w:jc w:val="center"/>
        </w:trPr>
        <w:tc>
          <w:tcPr>
            <w:tcW w:w="3780" w:type="dxa"/>
            <w:vAlign w:val="center"/>
          </w:tcPr>
          <w:p w:rsidR="0009329B" w:rsidRPr="00AF79EA" w:rsidRDefault="0009329B" w:rsidP="00FE00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F79EA" w:rsidRDefault="0009329B" w:rsidP="00FE00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F79EA" w:rsidRDefault="0009329B" w:rsidP="00FE00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F79EA" w:rsidTr="00FE00AB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AF79EA" w:rsidRDefault="0009329B" w:rsidP="00FE00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F79E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AF573C" w:rsidRPr="00AF79EA">
              <w:rPr>
                <w:rFonts w:ascii="Arial" w:hAnsi="Arial" w:cs="Arial"/>
                <w:sz w:val="22"/>
                <w:szCs w:val="22"/>
              </w:rPr>
              <w:t>3</w:t>
            </w:r>
            <w:r w:rsidR="001851DA">
              <w:rPr>
                <w:rFonts w:ascii="Arial" w:hAnsi="Arial" w:cs="Arial"/>
                <w:sz w:val="22"/>
                <w:szCs w:val="22"/>
              </w:rPr>
              <w:t>.</w:t>
            </w:r>
            <w:r w:rsidR="00AF573C" w:rsidRPr="00AF79EA">
              <w:rPr>
                <w:rFonts w:ascii="Arial" w:hAnsi="Arial" w:cs="Arial"/>
                <w:sz w:val="22"/>
                <w:szCs w:val="22"/>
              </w:rPr>
              <w:t>322</w:t>
            </w:r>
            <w:r w:rsidRPr="00AF79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AF79E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F79EA" w:rsidTr="003A2640">
        <w:trPr>
          <w:jc w:val="center"/>
        </w:trPr>
        <w:tc>
          <w:tcPr>
            <w:tcW w:w="8969" w:type="dxa"/>
            <w:gridSpan w:val="3"/>
          </w:tcPr>
          <w:p w:rsidR="0009329B" w:rsidRPr="00AF79EA" w:rsidRDefault="0009329B" w:rsidP="001851D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F79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F79E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851D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322</w:t>
            </w:r>
          </w:p>
          <w:p w:rsidR="0009329B" w:rsidRPr="00FE00AB" w:rsidRDefault="0009329B" w:rsidP="00FE00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F79EA" w:rsidTr="003A2640">
        <w:trPr>
          <w:jc w:val="center"/>
        </w:trPr>
        <w:tc>
          <w:tcPr>
            <w:tcW w:w="3090" w:type="dxa"/>
            <w:vAlign w:val="center"/>
          </w:tcPr>
          <w:p w:rsidR="0009329B" w:rsidRPr="00AF79EA" w:rsidRDefault="0009329B" w:rsidP="00AF79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lastRenderedPageBreak/>
              <w:t>Número de artículo</w:t>
            </w:r>
          </w:p>
          <w:p w:rsidR="0009329B" w:rsidRPr="00AF79EA" w:rsidRDefault="0009329B" w:rsidP="00AF79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F79EA" w:rsidRDefault="0009329B" w:rsidP="00AF79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F79EA" w:rsidRDefault="003A2640" w:rsidP="00AF79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851D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F573C" w:rsidRPr="00AF79EA">
              <w:rPr>
                <w:rFonts w:ascii="Arial" w:hAnsi="Arial" w:cs="Arial"/>
                <w:b/>
                <w:sz w:val="22"/>
                <w:szCs w:val="22"/>
              </w:rPr>
              <w:t>322</w:t>
            </w:r>
            <w:r w:rsidR="0009329B" w:rsidRPr="00AF79E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F79EA" w:rsidRDefault="0009329B" w:rsidP="00AF79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F79E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F79EA" w:rsidTr="003A2640">
        <w:trPr>
          <w:jc w:val="center"/>
        </w:trPr>
        <w:tc>
          <w:tcPr>
            <w:tcW w:w="8969" w:type="dxa"/>
            <w:gridSpan w:val="3"/>
          </w:tcPr>
          <w:p w:rsidR="0009329B" w:rsidRPr="00AF79EA" w:rsidRDefault="0009329B" w:rsidP="00AF79E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F79E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AF573C" w:rsidRPr="00AF79EA">
              <w:rPr>
                <w:rFonts w:ascii="Arial" w:hAnsi="Arial" w:cs="Arial"/>
                <w:sz w:val="22"/>
                <w:szCs w:val="22"/>
              </w:rPr>
              <w:t>3</w:t>
            </w:r>
            <w:r w:rsidR="001851DA">
              <w:rPr>
                <w:rFonts w:ascii="Arial" w:hAnsi="Arial" w:cs="Arial"/>
                <w:sz w:val="22"/>
                <w:szCs w:val="22"/>
              </w:rPr>
              <w:t>.</w:t>
            </w:r>
            <w:r w:rsidR="00AF573C" w:rsidRPr="00AF79EA">
              <w:rPr>
                <w:rFonts w:ascii="Arial" w:hAnsi="Arial" w:cs="Arial"/>
                <w:sz w:val="22"/>
                <w:szCs w:val="22"/>
              </w:rPr>
              <w:t>322</w:t>
            </w:r>
            <w:r w:rsidRPr="00AF79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F79EA" w:rsidRDefault="0009329B" w:rsidP="00AF79E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F79EA" w:rsidRDefault="00F914CB" w:rsidP="00AF79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F79E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F79EA">
        <w:rPr>
          <w:rFonts w:ascii="Arial" w:hAnsi="Arial" w:cs="Arial"/>
          <w:b/>
          <w:sz w:val="22"/>
          <w:szCs w:val="22"/>
        </w:rPr>
        <w:t>:</w:t>
      </w:r>
    </w:p>
    <w:p w:rsidR="00AF573C" w:rsidRPr="00B35C92" w:rsidRDefault="00AF573C" w:rsidP="00B35C92">
      <w:pPr>
        <w:spacing w:line="360" w:lineRule="auto"/>
        <w:rPr>
          <w:rFonts w:ascii="Arial" w:hAnsi="Arial" w:cs="Arial"/>
          <w:sz w:val="22"/>
          <w:szCs w:val="22"/>
        </w:rPr>
      </w:pPr>
      <w:r w:rsidRPr="00B35C92">
        <w:rPr>
          <w:rFonts w:ascii="Arial" w:hAnsi="Arial" w:cs="Arial"/>
          <w:sz w:val="22"/>
          <w:szCs w:val="22"/>
        </w:rPr>
        <w:t xml:space="preserve"># La presente Norma contiene </w:t>
      </w:r>
      <w:r w:rsidR="00AF79EA" w:rsidRPr="00B35C92">
        <w:rPr>
          <w:rFonts w:ascii="Arial" w:hAnsi="Arial" w:cs="Arial"/>
          <w:sz w:val="22"/>
          <w:szCs w:val="22"/>
        </w:rPr>
        <w:t xml:space="preserve">remisiones externas </w:t>
      </w:r>
    </w:p>
    <w:sectPr w:rsidR="00AF573C" w:rsidRPr="00B35C92" w:rsidSect="00FE00A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1DB"/>
    <w:multiLevelType w:val="hybridMultilevel"/>
    <w:tmpl w:val="48AEB3F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665D7"/>
    <w:multiLevelType w:val="hybridMultilevel"/>
    <w:tmpl w:val="6562C16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0070C1"/>
    <w:multiLevelType w:val="hybridMultilevel"/>
    <w:tmpl w:val="324E4E28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95E50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75BF3"/>
    <w:multiLevelType w:val="hybridMultilevel"/>
    <w:tmpl w:val="93C4529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BB4509"/>
    <w:multiLevelType w:val="hybridMultilevel"/>
    <w:tmpl w:val="62141C6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0411"/>
    <w:rsid w:val="0009329B"/>
    <w:rsid w:val="001851DA"/>
    <w:rsid w:val="002B476A"/>
    <w:rsid w:val="002D2DC8"/>
    <w:rsid w:val="00333DA6"/>
    <w:rsid w:val="003A2640"/>
    <w:rsid w:val="003D35E0"/>
    <w:rsid w:val="004A7641"/>
    <w:rsid w:val="00511646"/>
    <w:rsid w:val="005C0D00"/>
    <w:rsid w:val="005D403A"/>
    <w:rsid w:val="006506AC"/>
    <w:rsid w:val="006B1B39"/>
    <w:rsid w:val="007B08CA"/>
    <w:rsid w:val="00A476C0"/>
    <w:rsid w:val="00AB65D2"/>
    <w:rsid w:val="00AF573C"/>
    <w:rsid w:val="00AF79EA"/>
    <w:rsid w:val="00B34B85"/>
    <w:rsid w:val="00B35BA9"/>
    <w:rsid w:val="00B35C92"/>
    <w:rsid w:val="00BF0F88"/>
    <w:rsid w:val="00C67C06"/>
    <w:rsid w:val="00E569A8"/>
    <w:rsid w:val="00F76F73"/>
    <w:rsid w:val="00F914CB"/>
    <w:rsid w:val="00FE00AB"/>
    <w:rsid w:val="00FE0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F79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209C3-D73B-4370-9A17-CE4BC346A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2015-09-28T16:34:00Z</dcterms:modified>
</cp:coreProperties>
</file>