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CC3451" w:rsidP="00C9212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92124">
        <w:rPr>
          <w:rFonts w:ascii="Arial" w:hAnsi="Arial" w:cs="Arial"/>
          <w:b/>
          <w:sz w:val="22"/>
          <w:szCs w:val="22"/>
        </w:rPr>
        <w:t>LC-3289</w:t>
      </w:r>
    </w:p>
    <w:p w:rsidR="00C92124" w:rsidRPr="00C92124" w:rsidRDefault="00C92124" w:rsidP="00C9212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92124" w:rsidRPr="00C92124" w:rsidRDefault="004744EF" w:rsidP="00C9212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744EF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4744EF">
        <w:rPr>
          <w:rFonts w:ascii="Arial" w:hAnsi="Arial" w:cs="Arial"/>
          <w:b/>
          <w:sz w:val="22"/>
          <w:szCs w:val="22"/>
        </w:rPr>
        <w:t>289</w:t>
      </w:r>
    </w:p>
    <w:p w:rsidR="00C92124" w:rsidRDefault="00C92124" w:rsidP="00C9212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CC3451" w:rsidRPr="00C92124" w:rsidRDefault="00CC3451" w:rsidP="00C9212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92124">
        <w:rPr>
          <w:rFonts w:ascii="Arial" w:hAnsi="Arial" w:cs="Arial"/>
          <w:sz w:val="22"/>
          <w:szCs w:val="22"/>
          <w:lang w:val="es-AR"/>
        </w:rPr>
        <w:t>Artículo 1°.- Declárase Bien Cultural de la Ciudad de Buenos Aires, en la categoría Colecciones y Objetos del Art. 4, Inc. h) de la Ley 1.227 # a los siguientes elementos y/o muebles de la Estación Perú de la Línea “A” de subterráneos.</w:t>
      </w:r>
    </w:p>
    <w:p w:rsidR="00CC3451" w:rsidRDefault="00CC3451" w:rsidP="004744E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4744EF">
        <w:rPr>
          <w:rFonts w:ascii="Arial" w:hAnsi="Arial" w:cs="Arial"/>
          <w:sz w:val="22"/>
          <w:szCs w:val="22"/>
          <w:lang w:val="es-AR"/>
        </w:rPr>
        <w:t>Cinco (5) Molinetes, ubicados 1 (uno) en el acceso al andén sur del servicio y 4 (cuatro) en el sector norte.</w:t>
      </w:r>
    </w:p>
    <w:p w:rsidR="00CC3451" w:rsidRDefault="00CC3451" w:rsidP="00C9212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4744EF">
        <w:rPr>
          <w:rFonts w:ascii="Arial" w:hAnsi="Arial" w:cs="Arial"/>
          <w:sz w:val="22"/>
          <w:szCs w:val="22"/>
          <w:lang w:val="es-AR"/>
        </w:rPr>
        <w:t>Las boleterías existentes y ubicadas en ambos andenes.</w:t>
      </w:r>
    </w:p>
    <w:p w:rsidR="00CC3451" w:rsidRDefault="00CC3451" w:rsidP="00C9212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4744EF">
        <w:rPr>
          <w:rFonts w:ascii="Arial" w:hAnsi="Arial" w:cs="Arial"/>
          <w:sz w:val="22"/>
          <w:szCs w:val="22"/>
          <w:lang w:val="es-AR"/>
        </w:rPr>
        <w:t>La balanza electromecánica que fuera retirada para su conservación y que se encuentra en este momento el depósito ubicado en Constituyentes 6269, y que deberá, luego de su restauración, ser colocada en su antiguo emplazamiento de la Estación Perú.</w:t>
      </w:r>
    </w:p>
    <w:p w:rsidR="00CC3451" w:rsidRPr="004744EF" w:rsidRDefault="00CC3451" w:rsidP="00C9212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4744EF">
        <w:rPr>
          <w:rFonts w:ascii="Arial" w:hAnsi="Arial" w:cs="Arial"/>
          <w:sz w:val="22"/>
          <w:szCs w:val="22"/>
          <w:lang w:val="es-AR"/>
        </w:rPr>
        <w:t>Los tres (3) locales comerciales existentes.</w:t>
      </w:r>
    </w:p>
    <w:p w:rsidR="0009329B" w:rsidRPr="00C92124" w:rsidRDefault="0009329B" w:rsidP="00C9212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C92124" w:rsidTr="00C92124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C92124" w:rsidRDefault="0009329B" w:rsidP="00C9212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9212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C3451" w:rsidRPr="00C9212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921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9212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C3451" w:rsidRPr="00C9212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4744E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C3451" w:rsidRPr="00C92124">
              <w:rPr>
                <w:rFonts w:ascii="Arial" w:hAnsi="Arial" w:cs="Arial"/>
                <w:b/>
                <w:sz w:val="22"/>
                <w:szCs w:val="22"/>
              </w:rPr>
              <w:t>289</w:t>
            </w:r>
          </w:p>
          <w:p w:rsidR="0009329B" w:rsidRPr="00C92124" w:rsidRDefault="0009329B" w:rsidP="00C921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212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92124" w:rsidTr="00C92124">
        <w:trPr>
          <w:jc w:val="center"/>
        </w:trPr>
        <w:tc>
          <w:tcPr>
            <w:tcW w:w="3780" w:type="dxa"/>
            <w:vAlign w:val="center"/>
          </w:tcPr>
          <w:p w:rsidR="0009329B" w:rsidRPr="00C92124" w:rsidRDefault="0009329B" w:rsidP="00C921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212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C92124" w:rsidRDefault="0009329B" w:rsidP="00C921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212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92124" w:rsidRDefault="0009329B" w:rsidP="00C921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212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92124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C92124" w:rsidRDefault="0009329B" w:rsidP="00C92124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92124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C3451" w:rsidRPr="00C92124">
              <w:rPr>
                <w:rFonts w:ascii="Arial" w:hAnsi="Arial" w:cs="Arial"/>
                <w:sz w:val="22"/>
                <w:szCs w:val="22"/>
              </w:rPr>
              <w:t>3</w:t>
            </w:r>
            <w:r w:rsidR="004744EF">
              <w:rPr>
                <w:rFonts w:ascii="Arial" w:hAnsi="Arial" w:cs="Arial"/>
                <w:sz w:val="22"/>
                <w:szCs w:val="22"/>
              </w:rPr>
              <w:t>.</w:t>
            </w:r>
            <w:r w:rsidR="00CC3451" w:rsidRPr="00C92124">
              <w:rPr>
                <w:rFonts w:ascii="Arial" w:hAnsi="Arial" w:cs="Arial"/>
                <w:sz w:val="22"/>
                <w:szCs w:val="22"/>
              </w:rPr>
              <w:t>289</w:t>
            </w:r>
            <w:r w:rsidRPr="00C9212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92124" w:rsidRDefault="0009329B" w:rsidP="00C9212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92124" w:rsidTr="00C92124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C92124" w:rsidRDefault="0009329B" w:rsidP="00C9212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212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C3451" w:rsidRPr="00C9212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921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9212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C3451" w:rsidRPr="00C92124">
              <w:rPr>
                <w:rFonts w:ascii="Arial" w:hAnsi="Arial" w:cs="Arial"/>
                <w:b/>
                <w:sz w:val="22"/>
                <w:szCs w:val="22"/>
              </w:rPr>
              <w:t>3289</w:t>
            </w:r>
          </w:p>
          <w:p w:rsidR="0009329B" w:rsidRPr="00C92124" w:rsidRDefault="0009329B" w:rsidP="00C921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212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92124" w:rsidTr="00C92124">
        <w:trPr>
          <w:jc w:val="center"/>
        </w:trPr>
        <w:tc>
          <w:tcPr>
            <w:tcW w:w="3090" w:type="dxa"/>
            <w:vAlign w:val="center"/>
          </w:tcPr>
          <w:p w:rsidR="0009329B" w:rsidRPr="00C92124" w:rsidRDefault="0009329B" w:rsidP="00C921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212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92124" w:rsidRDefault="0009329B" w:rsidP="00C921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212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92124" w:rsidRDefault="0009329B" w:rsidP="00C921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212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92124" w:rsidRDefault="003A2640" w:rsidP="00C921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2124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C3451" w:rsidRPr="00C9212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4744E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C3451" w:rsidRPr="00C92124">
              <w:rPr>
                <w:rFonts w:ascii="Arial" w:hAnsi="Arial" w:cs="Arial"/>
                <w:b/>
                <w:sz w:val="22"/>
                <w:szCs w:val="22"/>
              </w:rPr>
              <w:t>289</w:t>
            </w:r>
            <w:r w:rsidR="0009329B" w:rsidRPr="00C9212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92124" w:rsidRDefault="0009329B" w:rsidP="00C921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212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92124" w:rsidTr="003A2640">
        <w:trPr>
          <w:jc w:val="center"/>
        </w:trPr>
        <w:tc>
          <w:tcPr>
            <w:tcW w:w="8969" w:type="dxa"/>
            <w:gridSpan w:val="3"/>
          </w:tcPr>
          <w:p w:rsidR="0009329B" w:rsidRPr="00C92124" w:rsidRDefault="0009329B" w:rsidP="004744E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9212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C3451" w:rsidRPr="00C92124">
              <w:rPr>
                <w:rFonts w:ascii="Arial" w:hAnsi="Arial" w:cs="Arial"/>
                <w:sz w:val="22"/>
                <w:szCs w:val="22"/>
              </w:rPr>
              <w:t>3</w:t>
            </w:r>
            <w:r w:rsidR="004744EF">
              <w:rPr>
                <w:rFonts w:ascii="Arial" w:hAnsi="Arial" w:cs="Arial"/>
                <w:sz w:val="22"/>
                <w:szCs w:val="22"/>
              </w:rPr>
              <w:t>.</w:t>
            </w:r>
            <w:r w:rsidR="00CC3451" w:rsidRPr="00C92124">
              <w:rPr>
                <w:rFonts w:ascii="Arial" w:hAnsi="Arial" w:cs="Arial"/>
                <w:sz w:val="22"/>
                <w:szCs w:val="22"/>
              </w:rPr>
              <w:t>289</w:t>
            </w:r>
            <w:r w:rsidRPr="00C9212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92124" w:rsidRDefault="0009329B" w:rsidP="00C92124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C92124" w:rsidRDefault="00F914CB" w:rsidP="00C9212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92124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C92124">
        <w:rPr>
          <w:rFonts w:ascii="Arial" w:hAnsi="Arial" w:cs="Arial"/>
          <w:b/>
          <w:sz w:val="22"/>
          <w:szCs w:val="22"/>
        </w:rPr>
        <w:t>:</w:t>
      </w:r>
    </w:p>
    <w:p w:rsidR="00CC3451" w:rsidRPr="00C92124" w:rsidRDefault="00CC3451" w:rsidP="00C92124">
      <w:pPr>
        <w:spacing w:line="360" w:lineRule="auto"/>
        <w:rPr>
          <w:rFonts w:ascii="Arial" w:hAnsi="Arial" w:cs="Arial"/>
          <w:sz w:val="22"/>
          <w:szCs w:val="22"/>
        </w:rPr>
      </w:pPr>
      <w:r w:rsidRPr="00C92124">
        <w:rPr>
          <w:rFonts w:ascii="Arial" w:hAnsi="Arial"/>
          <w:sz w:val="22"/>
          <w:szCs w:val="22"/>
        </w:rPr>
        <w:t># La presente Norma contiene remisiones externas #</w:t>
      </w:r>
    </w:p>
    <w:sectPr w:rsidR="00CC3451" w:rsidRPr="00C92124" w:rsidSect="00C9212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42EA4"/>
    <w:multiLevelType w:val="hybridMultilevel"/>
    <w:tmpl w:val="0E763D7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6A1571"/>
    <w:multiLevelType w:val="hybridMultilevel"/>
    <w:tmpl w:val="01A4704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14AEA"/>
    <w:rsid w:val="004744EF"/>
    <w:rsid w:val="004A7641"/>
    <w:rsid w:val="005C0D00"/>
    <w:rsid w:val="005D403A"/>
    <w:rsid w:val="006506AC"/>
    <w:rsid w:val="006B1B39"/>
    <w:rsid w:val="009000DC"/>
    <w:rsid w:val="00A476C0"/>
    <w:rsid w:val="00BF0F88"/>
    <w:rsid w:val="00C67C06"/>
    <w:rsid w:val="00C92124"/>
    <w:rsid w:val="00CC3451"/>
    <w:rsid w:val="00E971C7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744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2015-09-28T15:54:00Z</dcterms:modified>
</cp:coreProperties>
</file>