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424" w:rsidRPr="006A74AF" w:rsidRDefault="00040424" w:rsidP="006A74AF">
      <w:pPr>
        <w:spacing w:after="0" w:line="360" w:lineRule="auto"/>
        <w:rPr>
          <w:rFonts w:ascii="Arial" w:hAnsi="Arial" w:cs="Arial"/>
          <w:b/>
        </w:rPr>
      </w:pPr>
      <w:r w:rsidRPr="006A74AF">
        <w:rPr>
          <w:rFonts w:ascii="Arial" w:hAnsi="Arial" w:cs="Arial"/>
          <w:b/>
        </w:rPr>
        <w:t>LC-3173</w:t>
      </w:r>
    </w:p>
    <w:p w:rsidR="00195EA1" w:rsidRDefault="00195EA1" w:rsidP="006A74AF">
      <w:pPr>
        <w:spacing w:after="0" w:line="360" w:lineRule="auto"/>
        <w:jc w:val="center"/>
        <w:rPr>
          <w:rFonts w:ascii="Arial" w:hAnsi="Arial" w:cs="Arial"/>
          <w:b/>
        </w:rPr>
      </w:pPr>
    </w:p>
    <w:p w:rsidR="00040424" w:rsidRPr="006A74AF" w:rsidRDefault="00195EA1" w:rsidP="006A74AF">
      <w:pPr>
        <w:spacing w:after="0" w:line="360" w:lineRule="auto"/>
        <w:jc w:val="center"/>
        <w:rPr>
          <w:rFonts w:ascii="Arial" w:hAnsi="Arial" w:cs="Arial"/>
          <w:b/>
        </w:rPr>
      </w:pPr>
      <w:r w:rsidRPr="006A74AF">
        <w:rPr>
          <w:rFonts w:ascii="Arial" w:hAnsi="Arial" w:cs="Arial"/>
          <w:b/>
        </w:rPr>
        <w:t>LEY O – Nº 3</w:t>
      </w:r>
      <w:r>
        <w:rPr>
          <w:rFonts w:ascii="Arial" w:hAnsi="Arial" w:cs="Arial"/>
          <w:b/>
        </w:rPr>
        <w:t>.</w:t>
      </w:r>
      <w:r w:rsidRPr="006A74AF">
        <w:rPr>
          <w:rFonts w:ascii="Arial" w:hAnsi="Arial" w:cs="Arial"/>
          <w:b/>
        </w:rPr>
        <w:t>173</w:t>
      </w:r>
    </w:p>
    <w:p w:rsidR="00040424" w:rsidRPr="006A74AF" w:rsidRDefault="00040424" w:rsidP="006A74AF">
      <w:pPr>
        <w:spacing w:after="0" w:line="360" w:lineRule="auto"/>
        <w:jc w:val="both"/>
        <w:rPr>
          <w:rFonts w:ascii="Arial" w:hAnsi="Arial" w:cs="Arial"/>
        </w:rPr>
      </w:pPr>
    </w:p>
    <w:p w:rsidR="000B4F45" w:rsidRPr="006A74AF" w:rsidRDefault="000B4F45" w:rsidP="006A74AF">
      <w:pPr>
        <w:spacing w:after="0" w:line="360" w:lineRule="auto"/>
        <w:jc w:val="both"/>
        <w:rPr>
          <w:rFonts w:ascii="Arial" w:hAnsi="Arial" w:cs="Arial"/>
        </w:rPr>
      </w:pPr>
      <w:r w:rsidRPr="006A74AF">
        <w:rPr>
          <w:rFonts w:ascii="Arial" w:hAnsi="Arial" w:cs="Arial"/>
        </w:rPr>
        <w:t>Artículo 1º.- Las empresas de transporte público automotor de pasajeros que desarrollen sus recorridos total o parcialmente en la Ciudad Autónoma de Buenos Aires y que estén obligadas a otorgar la franquicia del boleto estudiantil previsto en las Leyes Nacionales Nos. 23.673 # y 23.805 #, deberán poseer dentro del territorio de la Ciudad Autónoma de Buenos Aires una oficina de atención a los usuarios y beneficiarios de dicho sistema, a fin de expedir la credencial y/o vender los pasajes correspondientes.</w:t>
      </w:r>
    </w:p>
    <w:p w:rsidR="006A74AF" w:rsidRDefault="006A74AF" w:rsidP="006A74AF">
      <w:pPr>
        <w:spacing w:after="0" w:line="360" w:lineRule="auto"/>
        <w:jc w:val="both"/>
        <w:rPr>
          <w:rFonts w:ascii="Arial" w:hAnsi="Arial" w:cs="Arial"/>
        </w:rPr>
      </w:pPr>
    </w:p>
    <w:p w:rsidR="000B4F45" w:rsidRPr="006A74AF" w:rsidRDefault="000B4F45" w:rsidP="006A74AF">
      <w:pPr>
        <w:spacing w:after="0" w:line="360" w:lineRule="auto"/>
        <w:jc w:val="both"/>
        <w:rPr>
          <w:rFonts w:ascii="Arial" w:hAnsi="Arial" w:cs="Arial"/>
        </w:rPr>
      </w:pPr>
      <w:r w:rsidRPr="006A74AF">
        <w:rPr>
          <w:rFonts w:ascii="Arial" w:hAnsi="Arial" w:cs="Arial"/>
        </w:rPr>
        <w:t>Artículo 2º.- La oficina de atención a los usuarios y beneficiarios del sistema mencionado en el artículo anterior, deberá estar abierta como mínimo cuatro</w:t>
      </w:r>
      <w:r w:rsidR="00195EA1">
        <w:rPr>
          <w:rFonts w:ascii="Arial" w:hAnsi="Arial" w:cs="Arial"/>
        </w:rPr>
        <w:t xml:space="preserve"> (4</w:t>
      </w:r>
      <w:r w:rsidR="00A30469" w:rsidRPr="006A74AF">
        <w:rPr>
          <w:rFonts w:ascii="Arial" w:hAnsi="Arial" w:cs="Arial"/>
        </w:rPr>
        <w:t xml:space="preserve">) </w:t>
      </w:r>
      <w:r w:rsidRPr="006A74AF">
        <w:rPr>
          <w:rFonts w:ascii="Arial" w:hAnsi="Arial" w:cs="Arial"/>
        </w:rPr>
        <w:t>horas diarias todo</w:t>
      </w:r>
      <w:r w:rsidR="00195EA1">
        <w:rPr>
          <w:rFonts w:ascii="Arial" w:hAnsi="Arial" w:cs="Arial"/>
        </w:rPr>
        <w:t xml:space="preserve">s los días hábiles del uno (1) </w:t>
      </w:r>
      <w:r w:rsidRPr="006A74AF">
        <w:rPr>
          <w:rFonts w:ascii="Arial" w:hAnsi="Arial" w:cs="Arial"/>
        </w:rPr>
        <w:t>al diez (10) de</w:t>
      </w:r>
      <w:r w:rsidR="00195EA1">
        <w:rPr>
          <w:rFonts w:ascii="Arial" w:hAnsi="Arial" w:cs="Arial"/>
        </w:rPr>
        <w:t xml:space="preserve"> cada mes. Si el día diez (10) </w:t>
      </w:r>
      <w:r w:rsidRPr="006A74AF">
        <w:rPr>
          <w:rFonts w:ascii="Arial" w:hAnsi="Arial" w:cs="Arial"/>
        </w:rPr>
        <w:t>fuera inhábil o feriado, el plazo se prorrogará hasta el subsiguiente hábil.</w:t>
      </w:r>
    </w:p>
    <w:p w:rsidR="006A74AF" w:rsidRDefault="006A74AF" w:rsidP="006A74AF">
      <w:pPr>
        <w:spacing w:after="0" w:line="360" w:lineRule="auto"/>
        <w:jc w:val="both"/>
        <w:rPr>
          <w:rFonts w:ascii="Arial" w:hAnsi="Arial" w:cs="Arial"/>
        </w:rPr>
      </w:pPr>
    </w:p>
    <w:p w:rsidR="000B4F45" w:rsidRPr="006A74AF" w:rsidRDefault="000B4F45" w:rsidP="006A74AF">
      <w:pPr>
        <w:spacing w:after="0" w:line="360" w:lineRule="auto"/>
        <w:jc w:val="both"/>
        <w:rPr>
          <w:rFonts w:ascii="Arial" w:hAnsi="Arial" w:cs="Arial"/>
        </w:rPr>
      </w:pPr>
      <w:r w:rsidRPr="006A74AF">
        <w:rPr>
          <w:rFonts w:ascii="Arial" w:hAnsi="Arial" w:cs="Arial"/>
        </w:rPr>
        <w:t>Artículo 3º.- La oficina de atención personal a los usuarios y beneficiarios del sistema, deberá estar ubicada en alguna de las comunas por las que se desarrolla el recorrido de la línea. En la medida que se cumple este requisito, la oficina podrá ser utilizada por más de una línea.</w:t>
      </w:r>
    </w:p>
    <w:p w:rsidR="006A74AF" w:rsidRDefault="006A74AF" w:rsidP="006A74AF">
      <w:pPr>
        <w:spacing w:after="0" w:line="360" w:lineRule="auto"/>
        <w:jc w:val="both"/>
        <w:rPr>
          <w:rFonts w:ascii="Arial" w:hAnsi="Arial" w:cs="Arial"/>
        </w:rPr>
      </w:pPr>
    </w:p>
    <w:p w:rsidR="000B4F45" w:rsidRPr="006A74AF" w:rsidRDefault="000B4F45" w:rsidP="006A74AF">
      <w:pPr>
        <w:spacing w:after="0" w:line="360" w:lineRule="auto"/>
        <w:jc w:val="both"/>
        <w:rPr>
          <w:rFonts w:ascii="Arial" w:hAnsi="Arial" w:cs="Arial"/>
        </w:rPr>
      </w:pPr>
      <w:r w:rsidRPr="006A74AF">
        <w:rPr>
          <w:rFonts w:ascii="Arial" w:hAnsi="Arial" w:cs="Arial"/>
        </w:rPr>
        <w:t>Artículo 4º.- Las empresas de transporte público automotor de pasajeros deberán notificar anualmente -antes del 28 de febrero de cada año- la ubicación de su oficina de atención a los usuarios y beneficiarios del sistema, a la Dirección General de Defensa y Protección al Consumidor de la Ciudad Autónoma de Buenos Aires y al Ente Único Regulador de los Servicios Públicos de la Ciudad Autónoma de Buenos Aires.</w:t>
      </w:r>
    </w:p>
    <w:p w:rsidR="006A74AF" w:rsidRDefault="006A74AF" w:rsidP="006A74AF">
      <w:pPr>
        <w:spacing w:after="0" w:line="360" w:lineRule="auto"/>
        <w:jc w:val="both"/>
        <w:rPr>
          <w:rFonts w:ascii="Arial" w:hAnsi="Arial" w:cs="Arial"/>
        </w:rPr>
      </w:pPr>
    </w:p>
    <w:p w:rsidR="000B4F45" w:rsidRPr="006A74AF" w:rsidRDefault="000B4F45" w:rsidP="006A74AF">
      <w:pPr>
        <w:spacing w:after="0" w:line="360" w:lineRule="auto"/>
        <w:jc w:val="both"/>
        <w:rPr>
          <w:rFonts w:ascii="Arial" w:hAnsi="Arial" w:cs="Arial"/>
        </w:rPr>
      </w:pPr>
      <w:r w:rsidRPr="006A74AF">
        <w:rPr>
          <w:rFonts w:ascii="Arial" w:hAnsi="Arial" w:cs="Arial"/>
        </w:rPr>
        <w:t>Artículo 5º.- La Dirección General de Defensa y Protección al Consumidor de la Ciudad Autónoma de Buenos Aires y el Ente Único Regulador de los Servicios Públicos de la Ciudad Autónoma de Buenos Aires, publicarán en lugar destacado en su página de Internet la ubicación de las oficinas de atención a los usuarios y beneficiarios del sistema de cada una de las líneas que circulan en la Ciudad Autónoma de Buenos Aires, así como los días y horarios de atención de las mismas.</w:t>
      </w:r>
    </w:p>
    <w:p w:rsidR="006A74AF" w:rsidRDefault="006A74AF" w:rsidP="006A74AF">
      <w:pPr>
        <w:spacing w:after="0" w:line="360" w:lineRule="auto"/>
        <w:jc w:val="both"/>
        <w:rPr>
          <w:rFonts w:ascii="Arial" w:hAnsi="Arial" w:cs="Arial"/>
        </w:rPr>
      </w:pPr>
    </w:p>
    <w:p w:rsidR="000B4F45" w:rsidRPr="006A74AF" w:rsidRDefault="000B4F45" w:rsidP="006A74AF">
      <w:pPr>
        <w:spacing w:after="0" w:line="360" w:lineRule="auto"/>
        <w:jc w:val="both"/>
        <w:rPr>
          <w:rFonts w:ascii="Arial" w:hAnsi="Arial" w:cs="Arial"/>
        </w:rPr>
      </w:pPr>
      <w:r w:rsidRPr="006A74AF">
        <w:rPr>
          <w:rFonts w:ascii="Arial" w:hAnsi="Arial" w:cs="Arial"/>
        </w:rPr>
        <w:t>Artículo 6º.- Las empresas de transporte público automotor de pasajeros que posean página de Internet publicarán en lugar destacado de la misma, la ubicación de la oficina de atención a los usuarios y beneficiarios del sistema, así como los días y horarios de funcionamiento.</w:t>
      </w:r>
    </w:p>
    <w:p w:rsidR="006A74AF" w:rsidRDefault="006A74AF" w:rsidP="006A74AF">
      <w:pPr>
        <w:spacing w:after="0" w:line="360" w:lineRule="auto"/>
        <w:jc w:val="both"/>
        <w:rPr>
          <w:rFonts w:ascii="Arial" w:hAnsi="Arial" w:cs="Arial"/>
        </w:rPr>
      </w:pPr>
    </w:p>
    <w:p w:rsidR="000B4F45" w:rsidRPr="006A74AF" w:rsidRDefault="000B4F45" w:rsidP="006A74AF">
      <w:pPr>
        <w:spacing w:after="0" w:line="360" w:lineRule="auto"/>
        <w:jc w:val="both"/>
        <w:rPr>
          <w:rFonts w:ascii="Arial" w:hAnsi="Arial" w:cs="Arial"/>
        </w:rPr>
      </w:pPr>
      <w:r w:rsidRPr="006A74AF">
        <w:rPr>
          <w:rFonts w:ascii="Arial" w:hAnsi="Arial" w:cs="Arial"/>
        </w:rPr>
        <w:lastRenderedPageBreak/>
        <w:t>Artículo 7º.- La Dirección General de Defensa y Protección al Consumidor u organismo que en el futuro lo reemplace, es la autoridad de aplicación de la presente Ley.</w:t>
      </w:r>
    </w:p>
    <w:p w:rsidR="006A74AF" w:rsidRDefault="006A74AF" w:rsidP="006A74AF">
      <w:pPr>
        <w:spacing w:after="0" w:line="360" w:lineRule="auto"/>
        <w:jc w:val="both"/>
        <w:rPr>
          <w:rFonts w:ascii="Arial" w:hAnsi="Arial" w:cs="Arial"/>
        </w:rPr>
      </w:pPr>
    </w:p>
    <w:p w:rsidR="000B4F45" w:rsidRPr="006A74AF" w:rsidRDefault="00195EA1" w:rsidP="006A74AF">
      <w:pPr>
        <w:spacing w:after="0" w:line="360" w:lineRule="auto"/>
        <w:jc w:val="both"/>
        <w:rPr>
          <w:rFonts w:ascii="Arial" w:hAnsi="Arial" w:cs="Arial"/>
        </w:rPr>
      </w:pPr>
      <w:r>
        <w:rPr>
          <w:rFonts w:ascii="Arial" w:hAnsi="Arial" w:cs="Arial"/>
        </w:rPr>
        <w:t xml:space="preserve">Artículo </w:t>
      </w:r>
      <w:r w:rsidR="000B4F45" w:rsidRPr="006A74AF">
        <w:rPr>
          <w:rFonts w:ascii="Arial" w:hAnsi="Arial" w:cs="Arial"/>
        </w:rPr>
        <w:t>8º.- El régimen de procedimientos aplicable es el establecido por la Ley Nº 757 # -Procedimiento Administrativo para la Defensa del Consumidor y del Usuario-.</w:t>
      </w:r>
    </w:p>
    <w:p w:rsidR="006A74AF" w:rsidRDefault="006A74AF" w:rsidP="006A74AF">
      <w:pPr>
        <w:spacing w:after="0" w:line="360" w:lineRule="auto"/>
        <w:jc w:val="both"/>
        <w:rPr>
          <w:rFonts w:ascii="Arial" w:hAnsi="Arial" w:cs="Arial"/>
        </w:rPr>
      </w:pPr>
    </w:p>
    <w:p w:rsidR="000B4F45" w:rsidRPr="006A74AF" w:rsidRDefault="00195EA1" w:rsidP="006A74AF">
      <w:pPr>
        <w:spacing w:after="0" w:line="360" w:lineRule="auto"/>
        <w:jc w:val="both"/>
        <w:rPr>
          <w:rFonts w:ascii="Arial" w:hAnsi="Arial" w:cs="Arial"/>
        </w:rPr>
      </w:pPr>
      <w:r>
        <w:rPr>
          <w:rFonts w:ascii="Arial" w:hAnsi="Arial" w:cs="Arial"/>
        </w:rPr>
        <w:t xml:space="preserve">Artículo </w:t>
      </w:r>
      <w:r w:rsidR="000B4F45" w:rsidRPr="006A74AF">
        <w:rPr>
          <w:rFonts w:ascii="Arial" w:hAnsi="Arial" w:cs="Arial"/>
        </w:rPr>
        <w:t>9º.- La presente Ley comenzará a regir a los ciento veinte (120) días de su publicación.</w:t>
      </w:r>
    </w:p>
    <w:p w:rsidR="00040424" w:rsidRPr="006A74AF" w:rsidRDefault="00040424" w:rsidP="006A74AF">
      <w:pPr>
        <w:spacing w:after="0" w:line="360" w:lineRule="auto"/>
        <w:jc w:val="both"/>
        <w:rPr>
          <w:rFonts w:ascii="Arial" w:hAnsi="Arial" w:cs="Arial"/>
          <w:b/>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872"/>
        <w:gridCol w:w="4128"/>
      </w:tblGrid>
      <w:tr w:rsidR="00040424" w:rsidRPr="006A74AF" w:rsidTr="00195EA1">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040424" w:rsidRPr="006A74AF" w:rsidRDefault="00040424" w:rsidP="00195EA1">
            <w:pPr>
              <w:pStyle w:val="Textosinformato"/>
              <w:spacing w:before="240" w:line="360" w:lineRule="auto"/>
              <w:jc w:val="center"/>
              <w:rPr>
                <w:rFonts w:ascii="Arial" w:hAnsi="Arial" w:cs="Arial"/>
                <w:sz w:val="22"/>
                <w:szCs w:val="22"/>
                <w:u w:val="single"/>
              </w:rPr>
            </w:pPr>
            <w:r w:rsidRPr="006A74AF">
              <w:rPr>
                <w:rFonts w:ascii="Arial" w:hAnsi="Arial" w:cs="Arial"/>
                <w:b/>
                <w:sz w:val="22"/>
                <w:szCs w:val="22"/>
              </w:rPr>
              <w:t>LEY  O - N° 3</w:t>
            </w:r>
            <w:r w:rsidR="00235585">
              <w:rPr>
                <w:rFonts w:ascii="Arial" w:hAnsi="Arial" w:cs="Arial"/>
                <w:b/>
                <w:sz w:val="22"/>
                <w:szCs w:val="22"/>
              </w:rPr>
              <w:t>.</w:t>
            </w:r>
            <w:r w:rsidRPr="006A74AF">
              <w:rPr>
                <w:rFonts w:ascii="Arial" w:hAnsi="Arial" w:cs="Arial"/>
                <w:b/>
                <w:sz w:val="22"/>
                <w:szCs w:val="22"/>
              </w:rPr>
              <w:t>173</w:t>
            </w:r>
          </w:p>
          <w:p w:rsidR="00040424" w:rsidRPr="006A74AF" w:rsidRDefault="00040424" w:rsidP="00195EA1">
            <w:pPr>
              <w:pStyle w:val="Textosinformato"/>
              <w:spacing w:line="360" w:lineRule="auto"/>
              <w:jc w:val="center"/>
              <w:rPr>
                <w:rFonts w:ascii="Times New Roman" w:hAnsi="Times New Roman"/>
                <w:b/>
                <w:sz w:val="22"/>
                <w:szCs w:val="22"/>
                <w:u w:val="single"/>
              </w:rPr>
            </w:pPr>
            <w:r w:rsidRPr="006A74AF">
              <w:rPr>
                <w:rFonts w:ascii="Arial" w:hAnsi="Arial" w:cs="Arial"/>
                <w:b/>
                <w:sz w:val="22"/>
                <w:szCs w:val="22"/>
              </w:rPr>
              <w:t>TABLA DE ANTECEDENTES</w:t>
            </w:r>
          </w:p>
        </w:tc>
      </w:tr>
      <w:tr w:rsidR="00040424" w:rsidRPr="006A74AF" w:rsidTr="00195EA1">
        <w:trPr>
          <w:trHeight w:val="467"/>
          <w:jc w:val="center"/>
        </w:trPr>
        <w:tc>
          <w:tcPr>
            <w:tcW w:w="4872" w:type="dxa"/>
            <w:tcBorders>
              <w:top w:val="single" w:sz="6" w:space="0" w:color="auto"/>
              <w:left w:val="single" w:sz="4" w:space="0" w:color="auto"/>
              <w:bottom w:val="single" w:sz="6" w:space="0" w:color="auto"/>
              <w:right w:val="single" w:sz="6" w:space="0" w:color="auto"/>
            </w:tcBorders>
            <w:vAlign w:val="center"/>
            <w:hideMark/>
          </w:tcPr>
          <w:p w:rsidR="00040424" w:rsidRPr="006A74AF" w:rsidRDefault="00040424" w:rsidP="00195EA1">
            <w:pPr>
              <w:pStyle w:val="Textosinformato"/>
              <w:spacing w:line="360" w:lineRule="auto"/>
              <w:jc w:val="center"/>
              <w:rPr>
                <w:rFonts w:ascii="Arial" w:hAnsi="Arial" w:cs="Arial"/>
                <w:b/>
                <w:sz w:val="22"/>
                <w:szCs w:val="22"/>
              </w:rPr>
            </w:pPr>
            <w:r w:rsidRPr="006A74AF">
              <w:rPr>
                <w:rFonts w:ascii="Arial" w:hAnsi="Arial" w:cs="Arial"/>
                <w:b/>
                <w:sz w:val="22"/>
                <w:szCs w:val="22"/>
              </w:rPr>
              <w:t>Número de Artículo del Texto</w:t>
            </w:r>
            <w:r w:rsidR="00195EA1">
              <w:rPr>
                <w:rFonts w:ascii="Arial" w:hAnsi="Arial" w:cs="Arial"/>
                <w:b/>
                <w:sz w:val="22"/>
                <w:szCs w:val="22"/>
              </w:rPr>
              <w:t xml:space="preserve"> </w:t>
            </w:r>
            <w:r w:rsidRPr="006A74AF">
              <w:rPr>
                <w:rFonts w:ascii="Arial" w:hAnsi="Arial" w:cs="Arial"/>
                <w:b/>
                <w:sz w:val="22"/>
                <w:szCs w:val="22"/>
              </w:rPr>
              <w:t>Definitivo</w:t>
            </w:r>
          </w:p>
        </w:tc>
        <w:tc>
          <w:tcPr>
            <w:tcW w:w="4128" w:type="dxa"/>
            <w:tcBorders>
              <w:top w:val="single" w:sz="6" w:space="0" w:color="auto"/>
              <w:left w:val="single" w:sz="6" w:space="0" w:color="auto"/>
              <w:bottom w:val="single" w:sz="6" w:space="0" w:color="auto"/>
              <w:right w:val="single" w:sz="4" w:space="0" w:color="auto"/>
            </w:tcBorders>
            <w:vAlign w:val="center"/>
            <w:hideMark/>
          </w:tcPr>
          <w:p w:rsidR="00040424" w:rsidRPr="006A74AF" w:rsidRDefault="00040424" w:rsidP="00195EA1">
            <w:pPr>
              <w:pStyle w:val="Textosinformato"/>
              <w:spacing w:line="360" w:lineRule="auto"/>
              <w:jc w:val="center"/>
              <w:rPr>
                <w:rFonts w:ascii="Arial" w:hAnsi="Arial" w:cs="Arial"/>
                <w:b/>
                <w:sz w:val="22"/>
                <w:szCs w:val="22"/>
              </w:rPr>
            </w:pPr>
            <w:r w:rsidRPr="006A74AF">
              <w:rPr>
                <w:rFonts w:ascii="Arial" w:hAnsi="Arial" w:cs="Arial"/>
                <w:b/>
                <w:sz w:val="22"/>
                <w:szCs w:val="22"/>
              </w:rPr>
              <w:t>Fuente</w:t>
            </w:r>
          </w:p>
        </w:tc>
      </w:tr>
      <w:tr w:rsidR="00040424" w:rsidRPr="006A74AF" w:rsidTr="00195EA1">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tcPr>
          <w:p w:rsidR="00040424" w:rsidRPr="006A74AF" w:rsidRDefault="00040424" w:rsidP="00195EA1">
            <w:pPr>
              <w:pStyle w:val="Textosinformato"/>
              <w:spacing w:line="360" w:lineRule="auto"/>
              <w:jc w:val="center"/>
              <w:rPr>
                <w:rFonts w:ascii="Arial" w:hAnsi="Arial" w:cs="Arial"/>
                <w:sz w:val="22"/>
                <w:szCs w:val="22"/>
              </w:rPr>
            </w:pPr>
            <w:r w:rsidRPr="006A74AF">
              <w:rPr>
                <w:rFonts w:ascii="Arial" w:hAnsi="Arial" w:cs="Arial"/>
                <w:sz w:val="22"/>
                <w:szCs w:val="22"/>
              </w:rPr>
              <w:t>Todos los artículos de este Texto Definitivo provienen del texto original de la Ley 3</w:t>
            </w:r>
            <w:r w:rsidR="00235585">
              <w:rPr>
                <w:rFonts w:ascii="Arial" w:hAnsi="Arial" w:cs="Arial"/>
                <w:sz w:val="22"/>
                <w:szCs w:val="22"/>
              </w:rPr>
              <w:t>.</w:t>
            </w:r>
            <w:r w:rsidRPr="006A74AF">
              <w:rPr>
                <w:rFonts w:ascii="Arial" w:hAnsi="Arial" w:cs="Arial"/>
                <w:sz w:val="22"/>
                <w:szCs w:val="22"/>
              </w:rPr>
              <w:t>173</w:t>
            </w:r>
          </w:p>
        </w:tc>
      </w:tr>
    </w:tbl>
    <w:p w:rsidR="00161B97" w:rsidRPr="006A74AF" w:rsidRDefault="00161B97" w:rsidP="006A74AF">
      <w:pPr>
        <w:spacing w:after="0" w:line="360" w:lineRule="auto"/>
        <w:rPr>
          <w:rFonts w:ascii="Arial" w:hAnsi="Arial" w:cs="Arial"/>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40424" w:rsidRPr="006A74AF" w:rsidTr="00195EA1">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040424" w:rsidRPr="006A74AF" w:rsidRDefault="00040424" w:rsidP="00195EA1">
            <w:pPr>
              <w:pStyle w:val="Textosinformato"/>
              <w:spacing w:before="240" w:line="360" w:lineRule="auto"/>
              <w:jc w:val="center"/>
              <w:rPr>
                <w:rFonts w:ascii="Arial" w:hAnsi="Arial" w:cs="Arial"/>
                <w:b/>
                <w:sz w:val="22"/>
                <w:szCs w:val="22"/>
              </w:rPr>
            </w:pPr>
            <w:r w:rsidRPr="006A74AF">
              <w:rPr>
                <w:rFonts w:ascii="Arial" w:hAnsi="Arial" w:cs="Arial"/>
                <w:b/>
                <w:sz w:val="22"/>
                <w:szCs w:val="22"/>
              </w:rPr>
              <w:t>LEY O  - N° 3</w:t>
            </w:r>
            <w:r w:rsidR="00235585">
              <w:rPr>
                <w:rFonts w:ascii="Arial" w:hAnsi="Arial" w:cs="Arial"/>
                <w:b/>
                <w:sz w:val="22"/>
                <w:szCs w:val="22"/>
              </w:rPr>
              <w:t>.</w:t>
            </w:r>
            <w:r w:rsidRPr="006A74AF">
              <w:rPr>
                <w:rFonts w:ascii="Arial" w:hAnsi="Arial" w:cs="Arial"/>
                <w:b/>
                <w:sz w:val="22"/>
                <w:szCs w:val="22"/>
              </w:rPr>
              <w:t>173</w:t>
            </w:r>
          </w:p>
          <w:p w:rsidR="00040424" w:rsidRPr="006A74AF" w:rsidRDefault="00040424" w:rsidP="00195EA1">
            <w:pPr>
              <w:pStyle w:val="Textosinformato"/>
              <w:spacing w:line="360" w:lineRule="auto"/>
              <w:jc w:val="center"/>
              <w:rPr>
                <w:rFonts w:ascii="Arial" w:hAnsi="Arial" w:cs="Arial"/>
                <w:sz w:val="22"/>
                <w:szCs w:val="22"/>
              </w:rPr>
            </w:pPr>
            <w:r w:rsidRPr="006A74AF">
              <w:rPr>
                <w:rFonts w:ascii="Arial" w:hAnsi="Arial" w:cs="Arial"/>
                <w:b/>
                <w:sz w:val="22"/>
                <w:szCs w:val="22"/>
              </w:rPr>
              <w:t>TABLA DE EQUIVALENCIAS</w:t>
            </w:r>
          </w:p>
        </w:tc>
      </w:tr>
      <w:tr w:rsidR="00040424" w:rsidRPr="006A74AF" w:rsidTr="00195EA1">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040424" w:rsidRPr="006A74AF" w:rsidRDefault="00040424" w:rsidP="00195EA1">
            <w:pPr>
              <w:spacing w:after="0" w:line="360" w:lineRule="auto"/>
              <w:jc w:val="center"/>
              <w:rPr>
                <w:rFonts w:ascii="Arial" w:eastAsia="Times New Roman" w:hAnsi="Arial" w:cs="Arial"/>
                <w:b/>
                <w:lang w:val="es-ES" w:eastAsia="es-ES"/>
              </w:rPr>
            </w:pPr>
            <w:r w:rsidRPr="006A74AF">
              <w:rPr>
                <w:rFonts w:ascii="Arial" w:hAnsi="Arial" w:cs="Arial"/>
                <w:b/>
              </w:rPr>
              <w:t>Número de artículo del Texto Definitivo</w:t>
            </w:r>
          </w:p>
        </w:tc>
        <w:tc>
          <w:tcPr>
            <w:tcW w:w="2850" w:type="dxa"/>
            <w:tcBorders>
              <w:top w:val="single" w:sz="4" w:space="0" w:color="auto"/>
              <w:left w:val="single" w:sz="4" w:space="0" w:color="auto"/>
              <w:bottom w:val="single" w:sz="4" w:space="0" w:color="auto"/>
              <w:right w:val="single" w:sz="4" w:space="0" w:color="auto"/>
            </w:tcBorders>
            <w:vAlign w:val="center"/>
            <w:hideMark/>
          </w:tcPr>
          <w:p w:rsidR="00040424" w:rsidRPr="006A74AF" w:rsidRDefault="00040424" w:rsidP="00195EA1">
            <w:pPr>
              <w:spacing w:after="0" w:line="360" w:lineRule="auto"/>
              <w:jc w:val="center"/>
              <w:rPr>
                <w:rFonts w:ascii="Arial" w:eastAsia="Times New Roman" w:hAnsi="Arial" w:cs="Arial"/>
                <w:b/>
                <w:lang w:val="es-ES" w:eastAsia="es-ES"/>
              </w:rPr>
            </w:pPr>
            <w:r w:rsidRPr="006A74AF">
              <w:rPr>
                <w:rFonts w:ascii="Arial" w:hAnsi="Arial" w:cs="Arial"/>
                <w:b/>
              </w:rPr>
              <w:t>Número de artículo del Texto de Referencia (Ley  3</w:t>
            </w:r>
            <w:r w:rsidR="00235585">
              <w:rPr>
                <w:rFonts w:ascii="Arial" w:hAnsi="Arial" w:cs="Arial"/>
                <w:b/>
              </w:rPr>
              <w:t>.</w:t>
            </w:r>
            <w:r w:rsidRPr="006A74AF">
              <w:rPr>
                <w:rFonts w:ascii="Arial" w:hAnsi="Arial" w:cs="Arial"/>
                <w:b/>
              </w:rPr>
              <w:t>173 )</w:t>
            </w:r>
          </w:p>
        </w:tc>
        <w:tc>
          <w:tcPr>
            <w:tcW w:w="3240" w:type="dxa"/>
            <w:tcBorders>
              <w:top w:val="single" w:sz="4" w:space="0" w:color="auto"/>
              <w:left w:val="single" w:sz="4" w:space="0" w:color="auto"/>
              <w:bottom w:val="single" w:sz="4" w:space="0" w:color="auto"/>
              <w:right w:val="single" w:sz="4" w:space="0" w:color="auto"/>
            </w:tcBorders>
            <w:vAlign w:val="center"/>
            <w:hideMark/>
          </w:tcPr>
          <w:p w:rsidR="00040424" w:rsidRPr="006A74AF" w:rsidRDefault="00040424" w:rsidP="00195EA1">
            <w:pPr>
              <w:spacing w:after="0" w:line="360" w:lineRule="auto"/>
              <w:jc w:val="center"/>
              <w:rPr>
                <w:rFonts w:ascii="Arial" w:eastAsia="Times New Roman" w:hAnsi="Arial" w:cs="Arial"/>
                <w:b/>
                <w:lang w:val="es-ES" w:eastAsia="es-ES"/>
              </w:rPr>
            </w:pPr>
            <w:r w:rsidRPr="006A74AF">
              <w:rPr>
                <w:rFonts w:ascii="Arial" w:hAnsi="Arial" w:cs="Arial"/>
                <w:b/>
              </w:rPr>
              <w:t>Observaciones</w:t>
            </w:r>
          </w:p>
        </w:tc>
      </w:tr>
      <w:tr w:rsidR="00040424" w:rsidRPr="006A74AF" w:rsidTr="00195EA1">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040424" w:rsidRPr="006A74AF" w:rsidRDefault="00040424" w:rsidP="00195EA1">
            <w:pPr>
              <w:spacing w:after="0" w:line="360" w:lineRule="auto"/>
              <w:jc w:val="center"/>
              <w:rPr>
                <w:rFonts w:ascii="Arial" w:eastAsia="Times New Roman" w:hAnsi="Arial" w:cs="Arial"/>
                <w:lang w:val="es-ES" w:eastAsia="es-ES"/>
              </w:rPr>
            </w:pPr>
            <w:r w:rsidRPr="006A74AF">
              <w:rPr>
                <w:rFonts w:ascii="Arial" w:hAnsi="Arial" w:cs="Arial"/>
              </w:rPr>
              <w:t>La numeración de los artículos del Texto Definitivo corresponde a la numeración original de la Ley 3173</w:t>
            </w:r>
          </w:p>
        </w:tc>
      </w:tr>
    </w:tbl>
    <w:p w:rsidR="00040424" w:rsidRPr="006A74AF" w:rsidRDefault="00040424" w:rsidP="006A74AF">
      <w:pPr>
        <w:spacing w:after="0" w:line="360" w:lineRule="auto"/>
        <w:rPr>
          <w:rFonts w:ascii="Arial" w:hAnsi="Arial" w:cs="Arial"/>
        </w:rPr>
      </w:pPr>
    </w:p>
    <w:p w:rsidR="005C0D59" w:rsidRPr="006A74AF" w:rsidRDefault="00040424" w:rsidP="006A74AF">
      <w:pPr>
        <w:spacing w:after="0" w:line="360" w:lineRule="auto"/>
        <w:rPr>
          <w:rFonts w:ascii="Arial" w:hAnsi="Arial" w:cs="Arial"/>
          <w:b/>
          <w:u w:val="single"/>
        </w:rPr>
      </w:pPr>
      <w:r w:rsidRPr="006A74AF">
        <w:rPr>
          <w:rFonts w:ascii="Arial" w:hAnsi="Arial" w:cs="Arial"/>
          <w:b/>
          <w:u w:val="single"/>
        </w:rPr>
        <w:t>Observaciones Generales</w:t>
      </w:r>
      <w:r w:rsidR="006A74AF">
        <w:rPr>
          <w:rFonts w:ascii="Arial" w:hAnsi="Arial" w:cs="Arial"/>
          <w:b/>
          <w:u w:val="single"/>
        </w:rPr>
        <w:t>:</w:t>
      </w:r>
    </w:p>
    <w:p w:rsidR="005C0D59" w:rsidRPr="006A74AF" w:rsidRDefault="005C0D59" w:rsidP="00195EA1">
      <w:pPr>
        <w:pStyle w:val="Prrafodelista"/>
        <w:numPr>
          <w:ilvl w:val="0"/>
          <w:numId w:val="1"/>
        </w:numPr>
        <w:spacing w:after="0" w:line="360" w:lineRule="auto"/>
        <w:ind w:left="567" w:hanging="567"/>
        <w:rPr>
          <w:rFonts w:ascii="Arial" w:hAnsi="Arial" w:cs="Arial"/>
        </w:rPr>
      </w:pPr>
      <w:r w:rsidRPr="006A74AF">
        <w:rPr>
          <w:rFonts w:ascii="Arial" w:hAnsi="Arial" w:cs="Arial"/>
        </w:rPr>
        <w:t># La presente Norma contiene remisiones externas #</w:t>
      </w:r>
    </w:p>
    <w:p w:rsidR="00040424" w:rsidRDefault="00040424" w:rsidP="00195EA1">
      <w:pPr>
        <w:pStyle w:val="Prrafodelista"/>
        <w:numPr>
          <w:ilvl w:val="0"/>
          <w:numId w:val="1"/>
        </w:numPr>
        <w:spacing w:after="0" w:line="360" w:lineRule="auto"/>
        <w:ind w:left="567" w:hanging="567"/>
        <w:jc w:val="both"/>
        <w:rPr>
          <w:rFonts w:ascii="Arial" w:hAnsi="Arial" w:cs="Arial"/>
        </w:rPr>
      </w:pPr>
      <w:r w:rsidRPr="006A74AF">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p w:rsidR="00195EA1" w:rsidRPr="006A74AF" w:rsidRDefault="00195EA1" w:rsidP="00195EA1">
      <w:pPr>
        <w:pStyle w:val="Prrafodelista"/>
        <w:numPr>
          <w:ilvl w:val="0"/>
          <w:numId w:val="1"/>
        </w:numPr>
        <w:spacing w:after="0" w:line="360" w:lineRule="auto"/>
        <w:ind w:left="567" w:hanging="567"/>
        <w:jc w:val="both"/>
        <w:rPr>
          <w:rFonts w:ascii="Arial" w:hAnsi="Arial" w:cs="Arial"/>
        </w:rPr>
      </w:pPr>
      <w:r>
        <w:rPr>
          <w:rFonts w:ascii="Arial" w:hAnsi="Arial" w:cs="Arial"/>
        </w:rPr>
        <w:t>La presente Ley fue publicada en BOCBA 3278 del 14/10/2009.</w:t>
      </w:r>
    </w:p>
    <w:p w:rsidR="00312273" w:rsidRPr="006A74AF" w:rsidRDefault="00235585" w:rsidP="006A74AF">
      <w:pPr>
        <w:spacing w:after="0" w:line="360" w:lineRule="auto"/>
      </w:pPr>
    </w:p>
    <w:sectPr w:rsidR="00312273" w:rsidRPr="006A74AF" w:rsidSect="006A74A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B747D"/>
    <w:multiLevelType w:val="hybridMultilevel"/>
    <w:tmpl w:val="A728533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0B4F45"/>
    <w:rsid w:val="00040424"/>
    <w:rsid w:val="000B4F45"/>
    <w:rsid w:val="00161B97"/>
    <w:rsid w:val="00195EA1"/>
    <w:rsid w:val="00235585"/>
    <w:rsid w:val="0041030A"/>
    <w:rsid w:val="004C7632"/>
    <w:rsid w:val="005A7775"/>
    <w:rsid w:val="005C0D59"/>
    <w:rsid w:val="006A74AF"/>
    <w:rsid w:val="007C34BE"/>
    <w:rsid w:val="008C5894"/>
    <w:rsid w:val="00A30469"/>
    <w:rsid w:val="00AA0DBD"/>
    <w:rsid w:val="00C04666"/>
    <w:rsid w:val="00D1258A"/>
    <w:rsid w:val="00F03A9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F45"/>
    <w:pPr>
      <w:spacing w:after="200" w:line="276" w:lineRule="auto"/>
      <w:jc w:val="left"/>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40424"/>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040424"/>
    <w:pPr>
      <w:spacing w:after="0" w:line="240" w:lineRule="auto"/>
    </w:pPr>
    <w:rPr>
      <w:rFonts w:ascii="Courier New" w:eastAsia="Times New Roman" w:hAnsi="Courier New"/>
      <w:sz w:val="20"/>
      <w:szCs w:val="24"/>
      <w:lang w:val="es-ES" w:eastAsia="es-ES"/>
    </w:rPr>
  </w:style>
  <w:style w:type="character" w:customStyle="1" w:styleId="TextosinformatoCar">
    <w:name w:val="Texto sin formato Car"/>
    <w:basedOn w:val="Fuentedeprrafopredeter"/>
    <w:link w:val="Textosinformato"/>
    <w:rsid w:val="00040424"/>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6A74AF"/>
    <w:pPr>
      <w:ind w:left="720"/>
      <w:contextualSpacing/>
    </w:pPr>
  </w:style>
</w:styles>
</file>

<file path=word/webSettings.xml><?xml version="1.0" encoding="utf-8"?>
<w:webSettings xmlns:r="http://schemas.openxmlformats.org/officeDocument/2006/relationships" xmlns:w="http://schemas.openxmlformats.org/wordprocessingml/2006/main">
  <w:divs>
    <w:div w:id="33314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548</Words>
  <Characters>3014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cp:lastPrinted>2014-09-01T13:20:00Z</cp:lastPrinted>
  <dcterms:created xsi:type="dcterms:W3CDTF">2014-09-01T13:09:00Z</dcterms:created>
  <dcterms:modified xsi:type="dcterms:W3CDTF">2015-09-22T15:02:00Z</dcterms:modified>
</cp:coreProperties>
</file>