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93A" w:rsidRDefault="00B8293A" w:rsidP="00B71149">
      <w:pPr>
        <w:spacing w:after="0" w:line="360" w:lineRule="auto"/>
        <w:rPr>
          <w:rFonts w:ascii="Arial" w:hAnsi="Arial" w:cs="Arial"/>
          <w:b/>
        </w:rPr>
      </w:pPr>
      <w:r w:rsidRPr="00B71149">
        <w:rPr>
          <w:rFonts w:ascii="Arial" w:hAnsi="Arial" w:cs="Arial"/>
          <w:b/>
        </w:rPr>
        <w:t>LC-307</w:t>
      </w:r>
      <w:r w:rsidR="004B1F23" w:rsidRPr="00B71149">
        <w:rPr>
          <w:rFonts w:ascii="Arial" w:hAnsi="Arial" w:cs="Arial"/>
          <w:b/>
        </w:rPr>
        <w:t>3</w:t>
      </w:r>
    </w:p>
    <w:p w:rsidR="00E41F35" w:rsidRPr="00B71149" w:rsidRDefault="00E41F35" w:rsidP="00B71149">
      <w:pPr>
        <w:spacing w:after="0" w:line="360" w:lineRule="auto"/>
        <w:rPr>
          <w:rFonts w:ascii="Arial" w:hAnsi="Arial" w:cs="Arial"/>
          <w:b/>
        </w:rPr>
      </w:pPr>
    </w:p>
    <w:p w:rsidR="00B8293A" w:rsidRPr="00B71149" w:rsidRDefault="00E41F35" w:rsidP="00E41F35">
      <w:pPr>
        <w:spacing w:after="0" w:line="360" w:lineRule="auto"/>
        <w:jc w:val="center"/>
        <w:rPr>
          <w:rFonts w:ascii="Arial" w:hAnsi="Arial" w:cs="Arial"/>
          <w:b/>
        </w:rPr>
      </w:pPr>
      <w:r w:rsidRPr="00B71149">
        <w:rPr>
          <w:rFonts w:ascii="Arial" w:eastAsia="Times New Roman" w:hAnsi="Arial" w:cs="Arial"/>
          <w:b/>
        </w:rPr>
        <w:t xml:space="preserve">LEY M – Nº </w:t>
      </w:r>
      <w:r w:rsidRPr="00B71149">
        <w:rPr>
          <w:rFonts w:ascii="Arial" w:hAnsi="Arial" w:cs="Arial"/>
          <w:b/>
        </w:rPr>
        <w:t>3</w:t>
      </w:r>
      <w:r>
        <w:rPr>
          <w:rFonts w:ascii="Arial" w:hAnsi="Arial" w:cs="Arial"/>
          <w:b/>
        </w:rPr>
        <w:t>.</w:t>
      </w:r>
      <w:r w:rsidRPr="00B71149">
        <w:rPr>
          <w:rFonts w:ascii="Arial" w:hAnsi="Arial" w:cs="Arial"/>
          <w:b/>
        </w:rPr>
        <w:t>073</w:t>
      </w:r>
    </w:p>
    <w:p w:rsidR="00B8293A" w:rsidRPr="00B71149" w:rsidRDefault="00B8293A" w:rsidP="00B71149">
      <w:pPr>
        <w:spacing w:after="0" w:line="360" w:lineRule="auto"/>
        <w:rPr>
          <w:rFonts w:ascii="Arial" w:eastAsia="Times New Roman" w:hAnsi="Arial" w:cs="Arial"/>
        </w:rPr>
      </w:pPr>
    </w:p>
    <w:p w:rsidR="00B8293A" w:rsidRPr="00B71149" w:rsidRDefault="005442CF" w:rsidP="00B71149">
      <w:pPr>
        <w:spacing w:after="0" w:line="360" w:lineRule="auto"/>
        <w:jc w:val="both"/>
        <w:rPr>
          <w:rFonts w:ascii="Arial" w:hAnsi="Arial" w:cs="Arial"/>
        </w:rPr>
      </w:pPr>
      <w:r w:rsidRPr="00B71149">
        <w:rPr>
          <w:rFonts w:ascii="Arial" w:hAnsi="Arial" w:cs="Arial"/>
        </w:rPr>
        <w:t>Artículo 1° -</w:t>
      </w:r>
      <w:r w:rsidR="00B8293A" w:rsidRPr="00B71149">
        <w:rPr>
          <w:rFonts w:ascii="Arial" w:hAnsi="Arial" w:cs="Arial"/>
          <w:i/>
        </w:rPr>
        <w:t>Objeto</w:t>
      </w:r>
      <w:r w:rsidRPr="00B71149">
        <w:rPr>
          <w:rFonts w:ascii="Arial" w:hAnsi="Arial" w:cs="Arial"/>
          <w:i/>
        </w:rPr>
        <w:t>-</w:t>
      </w:r>
      <w:r w:rsidR="00B8293A" w:rsidRPr="00B71149">
        <w:rPr>
          <w:rFonts w:ascii="Arial" w:hAnsi="Arial" w:cs="Arial"/>
        </w:rPr>
        <w:t xml:space="preserve"> </w:t>
      </w:r>
      <w:r w:rsidRPr="00B71149">
        <w:rPr>
          <w:rFonts w:ascii="Arial" w:hAnsi="Arial" w:cs="Arial"/>
        </w:rPr>
        <w:t xml:space="preserve"> </w:t>
      </w:r>
      <w:r w:rsidR="00B8293A" w:rsidRPr="00B71149">
        <w:rPr>
          <w:rFonts w:ascii="Arial" w:hAnsi="Arial" w:cs="Arial"/>
        </w:rPr>
        <w:t>El objeto de la presente Ley es brindar información acerca de las condiciones de accesibilidad de los edificios en los que funcionan los organismos alcanzados por la presente, teniendo en cuenta las pautas de diseño universal que garantizan la inclusión, la igualdad de oportunidades y el respeto a las diferencias.</w:t>
      </w:r>
    </w:p>
    <w:p w:rsidR="00B71149" w:rsidRDefault="00B71149" w:rsidP="00B71149">
      <w:pPr>
        <w:spacing w:after="0" w:line="360" w:lineRule="auto"/>
        <w:jc w:val="both"/>
        <w:rPr>
          <w:rFonts w:ascii="Arial" w:hAnsi="Arial" w:cs="Arial"/>
        </w:rPr>
      </w:pPr>
    </w:p>
    <w:p w:rsidR="00B8293A" w:rsidRPr="00B71149" w:rsidRDefault="00B8293A" w:rsidP="00B71149">
      <w:pPr>
        <w:spacing w:after="0" w:line="360" w:lineRule="auto"/>
        <w:jc w:val="both"/>
        <w:rPr>
          <w:rFonts w:ascii="Arial" w:hAnsi="Arial" w:cs="Arial"/>
        </w:rPr>
      </w:pPr>
      <w:r w:rsidRPr="00B71149">
        <w:rPr>
          <w:rFonts w:ascii="Arial" w:hAnsi="Arial" w:cs="Arial"/>
        </w:rPr>
        <w:t>Artículo 2°</w:t>
      </w:r>
      <w:r w:rsidR="005442CF" w:rsidRPr="00B71149">
        <w:rPr>
          <w:rFonts w:ascii="Arial" w:hAnsi="Arial" w:cs="Arial"/>
        </w:rPr>
        <w:t xml:space="preserve"> </w:t>
      </w:r>
      <w:r w:rsidRPr="00B71149">
        <w:rPr>
          <w:rFonts w:ascii="Arial" w:hAnsi="Arial" w:cs="Arial"/>
        </w:rPr>
        <w:t>-</w:t>
      </w:r>
      <w:r w:rsidR="005442CF" w:rsidRPr="00B71149">
        <w:rPr>
          <w:rFonts w:ascii="Arial" w:hAnsi="Arial" w:cs="Arial"/>
          <w:i/>
        </w:rPr>
        <w:t>Ámbito de aplicación</w:t>
      </w:r>
      <w:r w:rsidR="005442CF" w:rsidRPr="00B71149">
        <w:rPr>
          <w:rFonts w:ascii="Arial" w:hAnsi="Arial" w:cs="Arial"/>
        </w:rPr>
        <w:t xml:space="preserve">- </w:t>
      </w:r>
      <w:r w:rsidRPr="00B71149">
        <w:rPr>
          <w:rFonts w:ascii="Arial" w:hAnsi="Arial" w:cs="Arial"/>
        </w:rPr>
        <w:t xml:space="preserve"> Las disposiciones de la presente Ley son de aplicación en todo el Sector Público de la Ciudad Autónoma de Buenos Aires, conformado por las siguientes:</w:t>
      </w:r>
    </w:p>
    <w:p w:rsidR="005442CF" w:rsidRPr="00A04D58" w:rsidRDefault="00B8293A" w:rsidP="00A04D58">
      <w:pPr>
        <w:pStyle w:val="Prrafodelista"/>
        <w:numPr>
          <w:ilvl w:val="0"/>
          <w:numId w:val="4"/>
        </w:numPr>
        <w:spacing w:after="0" w:line="360" w:lineRule="auto"/>
        <w:ind w:left="567" w:hanging="567"/>
        <w:jc w:val="both"/>
        <w:rPr>
          <w:rFonts w:ascii="Arial" w:hAnsi="Arial" w:cs="Arial"/>
        </w:rPr>
      </w:pPr>
      <w:r w:rsidRPr="00A04D58">
        <w:rPr>
          <w:rFonts w:ascii="Arial" w:hAnsi="Arial" w:cs="Arial"/>
        </w:rPr>
        <w:t>La Administración central, entes descentralizados como entidades autárquicas y cualquier otra entidad que pudiera depender del Poder Ejecutivo de la Ciudad y las Comunas.</w:t>
      </w:r>
    </w:p>
    <w:p w:rsidR="005442CF" w:rsidRPr="00A04D58" w:rsidRDefault="00B8293A" w:rsidP="00A04D58">
      <w:pPr>
        <w:pStyle w:val="Prrafodelista"/>
        <w:numPr>
          <w:ilvl w:val="0"/>
          <w:numId w:val="4"/>
        </w:numPr>
        <w:spacing w:after="0" w:line="360" w:lineRule="auto"/>
        <w:ind w:left="567" w:hanging="567"/>
        <w:jc w:val="both"/>
        <w:rPr>
          <w:rFonts w:ascii="Arial" w:hAnsi="Arial" w:cs="Arial"/>
        </w:rPr>
      </w:pPr>
      <w:r w:rsidRPr="00A04D58">
        <w:rPr>
          <w:rFonts w:ascii="Arial" w:hAnsi="Arial" w:cs="Arial"/>
        </w:rPr>
        <w:t>El Poder Legislativo.</w:t>
      </w:r>
    </w:p>
    <w:p w:rsidR="005442CF" w:rsidRPr="00A04D58" w:rsidRDefault="00B8293A" w:rsidP="00A04D58">
      <w:pPr>
        <w:pStyle w:val="Prrafodelista"/>
        <w:numPr>
          <w:ilvl w:val="0"/>
          <w:numId w:val="4"/>
        </w:numPr>
        <w:spacing w:after="0" w:line="360" w:lineRule="auto"/>
        <w:ind w:left="567" w:hanging="567"/>
        <w:jc w:val="both"/>
        <w:rPr>
          <w:rFonts w:ascii="Arial" w:hAnsi="Arial" w:cs="Arial"/>
        </w:rPr>
      </w:pPr>
      <w:r w:rsidRPr="00A04D58">
        <w:rPr>
          <w:rFonts w:ascii="Arial" w:hAnsi="Arial" w:cs="Arial"/>
        </w:rPr>
        <w:t>El Poder Judicial.</w:t>
      </w:r>
    </w:p>
    <w:p w:rsidR="006B3FD9" w:rsidRPr="00A04D58" w:rsidRDefault="00B8293A" w:rsidP="00A04D58">
      <w:pPr>
        <w:pStyle w:val="Prrafodelista"/>
        <w:numPr>
          <w:ilvl w:val="0"/>
          <w:numId w:val="4"/>
        </w:numPr>
        <w:spacing w:after="0" w:line="360" w:lineRule="auto"/>
        <w:ind w:left="567" w:hanging="567"/>
        <w:jc w:val="both"/>
        <w:rPr>
          <w:rFonts w:ascii="Arial" w:hAnsi="Arial" w:cs="Arial"/>
        </w:rPr>
      </w:pPr>
      <w:r w:rsidRPr="00A04D58">
        <w:rPr>
          <w:rFonts w:ascii="Arial" w:hAnsi="Arial" w:cs="Arial"/>
        </w:rPr>
        <w:t>Los órganos creados por la Constitución de la Ciudad de Buenos Aires</w:t>
      </w:r>
      <w:r w:rsidR="005442CF" w:rsidRPr="00A04D58">
        <w:rPr>
          <w:rFonts w:ascii="Arial" w:hAnsi="Arial" w:cs="Arial"/>
        </w:rPr>
        <w:t xml:space="preserve"> #</w:t>
      </w:r>
      <w:r w:rsidRPr="00A04D58">
        <w:rPr>
          <w:rFonts w:ascii="Arial" w:hAnsi="Arial" w:cs="Arial"/>
        </w:rPr>
        <w:t>.</w:t>
      </w:r>
    </w:p>
    <w:p w:rsidR="00B8293A" w:rsidRPr="00A04D58" w:rsidRDefault="00B8293A" w:rsidP="00A04D58">
      <w:pPr>
        <w:pStyle w:val="Prrafodelista"/>
        <w:numPr>
          <w:ilvl w:val="0"/>
          <w:numId w:val="4"/>
        </w:numPr>
        <w:spacing w:after="0" w:line="360" w:lineRule="auto"/>
        <w:ind w:left="567" w:hanging="567"/>
        <w:jc w:val="both"/>
        <w:rPr>
          <w:rFonts w:ascii="Arial" w:hAnsi="Arial" w:cs="Arial"/>
        </w:rPr>
      </w:pPr>
      <w:r w:rsidRPr="00A04D58">
        <w:rPr>
          <w:rFonts w:ascii="Arial" w:hAnsi="Arial" w:cs="Arial"/>
        </w:rPr>
        <w:t>Las Empresas y Sociedades del Estado, sociedades anónimas con participación estatal mayoritaria, sociedades de economía mixta y todas aquellas otras organizaciones empresariales donde la Ciudad Autónoma de Buenos Aires tenga participación mayoritaria en el capital o en la formación de las decisiones societarias.</w:t>
      </w:r>
    </w:p>
    <w:p w:rsidR="00B71149" w:rsidRDefault="00B71149" w:rsidP="00B71149">
      <w:pPr>
        <w:spacing w:after="0" w:line="360" w:lineRule="auto"/>
        <w:jc w:val="both"/>
        <w:rPr>
          <w:rFonts w:ascii="Arial" w:hAnsi="Arial" w:cs="Arial"/>
        </w:rPr>
      </w:pPr>
    </w:p>
    <w:p w:rsidR="00B8293A" w:rsidRPr="00B71149" w:rsidRDefault="00B8293A" w:rsidP="00B71149">
      <w:pPr>
        <w:spacing w:after="0" w:line="360" w:lineRule="auto"/>
        <w:jc w:val="both"/>
        <w:rPr>
          <w:rFonts w:ascii="Arial" w:hAnsi="Arial" w:cs="Arial"/>
        </w:rPr>
      </w:pPr>
      <w:r w:rsidRPr="00B71149">
        <w:rPr>
          <w:rFonts w:ascii="Arial" w:hAnsi="Arial" w:cs="Arial"/>
        </w:rPr>
        <w:t>Artículo 3°</w:t>
      </w:r>
      <w:r w:rsidR="005442CF" w:rsidRPr="00B71149">
        <w:rPr>
          <w:rFonts w:ascii="Arial" w:hAnsi="Arial" w:cs="Arial"/>
        </w:rPr>
        <w:t xml:space="preserve"> </w:t>
      </w:r>
      <w:r w:rsidRPr="00B71149">
        <w:rPr>
          <w:rFonts w:ascii="Arial" w:hAnsi="Arial" w:cs="Arial"/>
        </w:rPr>
        <w:t>-</w:t>
      </w:r>
      <w:r w:rsidRPr="00B71149">
        <w:rPr>
          <w:rFonts w:ascii="Arial" w:hAnsi="Arial" w:cs="Arial"/>
          <w:i/>
        </w:rPr>
        <w:t>Responsabilidades</w:t>
      </w:r>
      <w:r w:rsidR="005442CF" w:rsidRPr="00B71149">
        <w:rPr>
          <w:rFonts w:ascii="Arial" w:hAnsi="Arial" w:cs="Arial"/>
        </w:rPr>
        <w:t>-</w:t>
      </w:r>
      <w:r w:rsidRPr="00B71149">
        <w:rPr>
          <w:rFonts w:ascii="Arial" w:hAnsi="Arial" w:cs="Arial"/>
        </w:rPr>
        <w:t xml:space="preserve"> Cada organismo integrante de alguno de l</w:t>
      </w:r>
      <w:r w:rsidR="005442CF" w:rsidRPr="00B71149">
        <w:rPr>
          <w:rFonts w:ascii="Arial" w:hAnsi="Arial" w:cs="Arial"/>
        </w:rPr>
        <w:t>os ámbitos detallados en el artículo</w:t>
      </w:r>
      <w:r w:rsidRPr="00B71149">
        <w:rPr>
          <w:rFonts w:ascii="Arial" w:hAnsi="Arial" w:cs="Arial"/>
        </w:rPr>
        <w:t xml:space="preserve"> 2° de la presente es el responsable del relevamiento y evaluación constantes de las condiciones de accesibilidad de los edificios en los cuales funcionan, y de envia</w:t>
      </w:r>
      <w:r w:rsidR="005442CF" w:rsidRPr="00B71149">
        <w:rPr>
          <w:rFonts w:ascii="Arial" w:hAnsi="Arial" w:cs="Arial"/>
        </w:rPr>
        <w:t>r esa información a la Secretarí</w:t>
      </w:r>
      <w:r w:rsidRPr="00B71149">
        <w:rPr>
          <w:rFonts w:ascii="Arial" w:hAnsi="Arial" w:cs="Arial"/>
        </w:rPr>
        <w:t>a de Comunicación Social del Gobierno de la Ciudad de Buenos Aires</w:t>
      </w:r>
      <w:r w:rsidR="00A35DB4" w:rsidRPr="00B71149">
        <w:rPr>
          <w:rFonts w:ascii="Arial" w:hAnsi="Arial" w:cs="Arial"/>
        </w:rPr>
        <w:t>.</w:t>
      </w:r>
    </w:p>
    <w:p w:rsidR="00B71149" w:rsidRDefault="00B71149" w:rsidP="00B71149">
      <w:pPr>
        <w:spacing w:after="0" w:line="360" w:lineRule="auto"/>
        <w:jc w:val="both"/>
        <w:rPr>
          <w:rFonts w:ascii="Arial" w:hAnsi="Arial" w:cs="Arial"/>
        </w:rPr>
      </w:pPr>
    </w:p>
    <w:p w:rsidR="00B71149" w:rsidRDefault="005442CF" w:rsidP="00A04D58">
      <w:pPr>
        <w:spacing w:after="0" w:line="360" w:lineRule="auto"/>
        <w:jc w:val="both"/>
        <w:rPr>
          <w:rFonts w:ascii="Arial" w:hAnsi="Arial" w:cs="Arial"/>
        </w:rPr>
      </w:pPr>
      <w:r w:rsidRPr="00B71149">
        <w:rPr>
          <w:rFonts w:ascii="Arial" w:hAnsi="Arial" w:cs="Arial"/>
        </w:rPr>
        <w:t xml:space="preserve">Artículo 4° </w:t>
      </w:r>
      <w:r w:rsidR="00B8293A" w:rsidRPr="00B71149">
        <w:rPr>
          <w:rFonts w:ascii="Arial" w:hAnsi="Arial" w:cs="Arial"/>
        </w:rPr>
        <w:t>-</w:t>
      </w:r>
      <w:r w:rsidR="00B8293A" w:rsidRPr="00B71149">
        <w:rPr>
          <w:rFonts w:ascii="Arial" w:hAnsi="Arial" w:cs="Arial"/>
          <w:i/>
        </w:rPr>
        <w:t>Invitación</w:t>
      </w:r>
      <w:r w:rsidRPr="00B71149">
        <w:rPr>
          <w:rFonts w:ascii="Arial" w:hAnsi="Arial" w:cs="Arial"/>
        </w:rPr>
        <w:t>-</w:t>
      </w:r>
      <w:r w:rsidR="00B8293A" w:rsidRPr="00B71149">
        <w:rPr>
          <w:rFonts w:ascii="Arial" w:hAnsi="Arial" w:cs="Arial"/>
        </w:rPr>
        <w:t xml:space="preserve"> La autoridad de aplicación de la presente invitará a las organizaciones públicas y privadas no comprendidas en el artículo 2°, a que incorporen las condiciones de accesibilidad de sus inmuebles en sus respectivas páginas Web.</w:t>
      </w:r>
    </w:p>
    <w:p w:rsidR="00A04D58" w:rsidRPr="00A04D58" w:rsidRDefault="00A04D58" w:rsidP="00A04D58">
      <w:pPr>
        <w:spacing w:after="0" w:line="360" w:lineRule="auto"/>
        <w:jc w:val="both"/>
        <w:rPr>
          <w:rFonts w:ascii="Arial" w:hAnsi="Arial" w:cs="Aria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5442CF" w:rsidRPr="00B71149" w:rsidTr="00B71149">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5442CF" w:rsidRPr="00B71149" w:rsidRDefault="005442CF" w:rsidP="00B71149">
            <w:pPr>
              <w:pStyle w:val="Textosinformato"/>
              <w:spacing w:before="240" w:line="360" w:lineRule="auto"/>
              <w:jc w:val="center"/>
              <w:rPr>
                <w:rFonts w:ascii="Arial" w:hAnsi="Arial" w:cs="Arial"/>
                <w:sz w:val="22"/>
                <w:szCs w:val="22"/>
                <w:u w:val="single"/>
              </w:rPr>
            </w:pPr>
            <w:r w:rsidRPr="00B71149">
              <w:rPr>
                <w:rFonts w:ascii="Arial" w:hAnsi="Arial" w:cs="Arial"/>
                <w:b/>
                <w:sz w:val="22"/>
                <w:szCs w:val="22"/>
              </w:rPr>
              <w:t>LEY M  - N° 3</w:t>
            </w:r>
            <w:r w:rsidR="00E41F35">
              <w:rPr>
                <w:rFonts w:ascii="Arial" w:hAnsi="Arial" w:cs="Arial"/>
                <w:b/>
                <w:sz w:val="22"/>
                <w:szCs w:val="22"/>
              </w:rPr>
              <w:t>.</w:t>
            </w:r>
            <w:r w:rsidRPr="00B71149">
              <w:rPr>
                <w:rFonts w:ascii="Arial" w:hAnsi="Arial" w:cs="Arial"/>
                <w:b/>
                <w:sz w:val="22"/>
                <w:szCs w:val="22"/>
              </w:rPr>
              <w:t>073</w:t>
            </w:r>
          </w:p>
          <w:p w:rsidR="005442CF" w:rsidRPr="00B71149" w:rsidRDefault="005442CF" w:rsidP="00B71149">
            <w:pPr>
              <w:pStyle w:val="Textosinformato"/>
              <w:spacing w:line="360" w:lineRule="auto"/>
              <w:jc w:val="center"/>
              <w:rPr>
                <w:rFonts w:ascii="Arial" w:hAnsi="Arial" w:cs="Arial"/>
                <w:b/>
                <w:sz w:val="22"/>
                <w:szCs w:val="22"/>
                <w:u w:val="single"/>
              </w:rPr>
            </w:pPr>
            <w:r w:rsidRPr="00B71149">
              <w:rPr>
                <w:rFonts w:ascii="Arial" w:hAnsi="Arial" w:cs="Arial"/>
                <w:b/>
                <w:sz w:val="22"/>
                <w:szCs w:val="22"/>
              </w:rPr>
              <w:t>TABLA DE ANTECEDENTES</w:t>
            </w:r>
          </w:p>
        </w:tc>
      </w:tr>
      <w:tr w:rsidR="005442CF" w:rsidRPr="00B71149" w:rsidTr="00B71149">
        <w:trPr>
          <w:jc w:val="center"/>
        </w:trPr>
        <w:tc>
          <w:tcPr>
            <w:tcW w:w="3780" w:type="dxa"/>
            <w:tcBorders>
              <w:top w:val="single" w:sz="6" w:space="0" w:color="auto"/>
              <w:left w:val="single" w:sz="4" w:space="0" w:color="auto"/>
              <w:bottom w:val="single" w:sz="6" w:space="0" w:color="auto"/>
              <w:right w:val="single" w:sz="6" w:space="0" w:color="auto"/>
            </w:tcBorders>
            <w:vAlign w:val="center"/>
            <w:hideMark/>
          </w:tcPr>
          <w:p w:rsidR="005442CF" w:rsidRPr="00B71149" w:rsidRDefault="005442CF" w:rsidP="00E41F35">
            <w:pPr>
              <w:pStyle w:val="Textosinformato"/>
              <w:spacing w:line="360" w:lineRule="auto"/>
              <w:jc w:val="center"/>
              <w:rPr>
                <w:rFonts w:ascii="Arial" w:hAnsi="Arial" w:cs="Arial"/>
                <w:b/>
                <w:sz w:val="22"/>
                <w:szCs w:val="22"/>
              </w:rPr>
            </w:pPr>
            <w:r w:rsidRPr="00B71149">
              <w:rPr>
                <w:rFonts w:ascii="Arial" w:hAnsi="Arial" w:cs="Arial"/>
                <w:b/>
                <w:sz w:val="22"/>
                <w:szCs w:val="22"/>
              </w:rPr>
              <w:t>Número de Artículo del Texto</w:t>
            </w:r>
            <w:r w:rsidR="00E41F35">
              <w:rPr>
                <w:rFonts w:ascii="Arial" w:hAnsi="Arial" w:cs="Arial"/>
                <w:b/>
                <w:sz w:val="22"/>
                <w:szCs w:val="22"/>
              </w:rPr>
              <w:t xml:space="preserve"> </w:t>
            </w:r>
            <w:r w:rsidRPr="00B71149">
              <w:rPr>
                <w:rFonts w:ascii="Arial" w:hAnsi="Arial" w:cs="Arial"/>
                <w:b/>
                <w:sz w:val="22"/>
                <w:szCs w:val="22"/>
              </w:rPr>
              <w:t>Definitivo</w:t>
            </w:r>
          </w:p>
        </w:tc>
        <w:tc>
          <w:tcPr>
            <w:tcW w:w="5220" w:type="dxa"/>
            <w:tcBorders>
              <w:top w:val="single" w:sz="6" w:space="0" w:color="auto"/>
              <w:left w:val="single" w:sz="6" w:space="0" w:color="auto"/>
              <w:bottom w:val="single" w:sz="6" w:space="0" w:color="auto"/>
              <w:right w:val="single" w:sz="4" w:space="0" w:color="auto"/>
            </w:tcBorders>
            <w:vAlign w:val="center"/>
            <w:hideMark/>
          </w:tcPr>
          <w:p w:rsidR="005442CF" w:rsidRPr="00B71149" w:rsidRDefault="005442CF" w:rsidP="00B71149">
            <w:pPr>
              <w:pStyle w:val="Textosinformato"/>
              <w:spacing w:line="360" w:lineRule="auto"/>
              <w:jc w:val="center"/>
              <w:rPr>
                <w:rFonts w:ascii="Arial" w:hAnsi="Arial" w:cs="Arial"/>
                <w:b/>
                <w:sz w:val="22"/>
                <w:szCs w:val="22"/>
              </w:rPr>
            </w:pPr>
            <w:r w:rsidRPr="00B71149">
              <w:rPr>
                <w:rFonts w:ascii="Arial" w:hAnsi="Arial" w:cs="Arial"/>
                <w:b/>
                <w:sz w:val="22"/>
                <w:szCs w:val="22"/>
              </w:rPr>
              <w:t>Fuente</w:t>
            </w:r>
          </w:p>
        </w:tc>
      </w:tr>
      <w:tr w:rsidR="005442CF" w:rsidRPr="00B71149" w:rsidTr="00B71149">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5442CF" w:rsidRPr="00B71149" w:rsidRDefault="005442CF" w:rsidP="00A04D58">
            <w:pPr>
              <w:pStyle w:val="Textosinformato"/>
              <w:spacing w:line="360" w:lineRule="auto"/>
              <w:jc w:val="center"/>
              <w:rPr>
                <w:rFonts w:ascii="Arial" w:hAnsi="Arial" w:cs="Arial"/>
                <w:sz w:val="22"/>
                <w:szCs w:val="22"/>
              </w:rPr>
            </w:pPr>
            <w:r w:rsidRPr="00B71149">
              <w:rPr>
                <w:rFonts w:ascii="Arial" w:hAnsi="Arial" w:cs="Arial"/>
                <w:sz w:val="22"/>
                <w:szCs w:val="22"/>
              </w:rPr>
              <w:t>Todos los artículos de este Texto Definitivo provien</w:t>
            </w:r>
            <w:r w:rsidR="00E41F35">
              <w:rPr>
                <w:rFonts w:ascii="Arial" w:hAnsi="Arial" w:cs="Arial"/>
                <w:sz w:val="22"/>
                <w:szCs w:val="22"/>
              </w:rPr>
              <w:t>en del Texto Original de la Ley</w:t>
            </w:r>
            <w:r w:rsidRPr="00B71149">
              <w:rPr>
                <w:rFonts w:ascii="Arial" w:hAnsi="Arial" w:cs="Arial"/>
                <w:sz w:val="22"/>
                <w:szCs w:val="22"/>
              </w:rPr>
              <w:t xml:space="preserve"> 3</w:t>
            </w:r>
            <w:r w:rsidR="00E41F35">
              <w:rPr>
                <w:rFonts w:ascii="Arial" w:hAnsi="Arial" w:cs="Arial"/>
                <w:sz w:val="22"/>
                <w:szCs w:val="22"/>
              </w:rPr>
              <w:t>.</w:t>
            </w:r>
            <w:r w:rsidRPr="00B71149">
              <w:rPr>
                <w:rFonts w:ascii="Arial" w:hAnsi="Arial" w:cs="Arial"/>
                <w:sz w:val="22"/>
                <w:szCs w:val="22"/>
              </w:rPr>
              <w:t>073.</w:t>
            </w:r>
          </w:p>
        </w:tc>
      </w:tr>
    </w:tbl>
    <w:p w:rsidR="005442CF" w:rsidRPr="00B71149" w:rsidRDefault="005442CF" w:rsidP="00B71149">
      <w:pPr>
        <w:spacing w:after="0" w:line="360" w:lineRule="auto"/>
        <w:rPr>
          <w:rFonts w:ascii="Arial" w:eastAsia="Times New Roman" w:hAnsi="Arial" w:cs="Arial"/>
          <w:lang w:val="es-ES" w:eastAsia="es-ES"/>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5442CF" w:rsidRPr="00B71149" w:rsidTr="00B7114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5442CF" w:rsidRPr="00B71149" w:rsidRDefault="005442CF" w:rsidP="00B71149">
            <w:pPr>
              <w:pStyle w:val="Textosinformato"/>
              <w:spacing w:before="240" w:line="360" w:lineRule="auto"/>
              <w:jc w:val="center"/>
              <w:rPr>
                <w:rFonts w:ascii="Arial" w:hAnsi="Arial" w:cs="Arial"/>
                <w:b/>
                <w:sz w:val="22"/>
                <w:szCs w:val="22"/>
              </w:rPr>
            </w:pPr>
            <w:r w:rsidRPr="00B71149">
              <w:rPr>
                <w:rFonts w:ascii="Arial" w:hAnsi="Arial" w:cs="Arial"/>
                <w:b/>
                <w:sz w:val="22"/>
                <w:szCs w:val="22"/>
              </w:rPr>
              <w:t>LEY M  - N° 3</w:t>
            </w:r>
            <w:r w:rsidR="00E41F35">
              <w:rPr>
                <w:rFonts w:ascii="Arial" w:hAnsi="Arial" w:cs="Arial"/>
                <w:b/>
                <w:sz w:val="22"/>
                <w:szCs w:val="22"/>
              </w:rPr>
              <w:t>.</w:t>
            </w:r>
            <w:r w:rsidRPr="00B71149">
              <w:rPr>
                <w:rFonts w:ascii="Arial" w:hAnsi="Arial" w:cs="Arial"/>
                <w:b/>
                <w:sz w:val="22"/>
                <w:szCs w:val="22"/>
              </w:rPr>
              <w:t>073</w:t>
            </w:r>
          </w:p>
          <w:p w:rsidR="005442CF" w:rsidRPr="00B71149" w:rsidRDefault="005442CF" w:rsidP="00B71149">
            <w:pPr>
              <w:pStyle w:val="Textosinformato"/>
              <w:spacing w:line="360" w:lineRule="auto"/>
              <w:jc w:val="center"/>
              <w:rPr>
                <w:rFonts w:ascii="Arial" w:hAnsi="Arial" w:cs="Arial"/>
                <w:sz w:val="22"/>
                <w:szCs w:val="22"/>
              </w:rPr>
            </w:pPr>
            <w:r w:rsidRPr="00B71149">
              <w:rPr>
                <w:rFonts w:ascii="Arial" w:hAnsi="Arial" w:cs="Arial"/>
                <w:b/>
                <w:sz w:val="22"/>
                <w:szCs w:val="22"/>
              </w:rPr>
              <w:t>TABLA DE EQUIVALENCIAS</w:t>
            </w:r>
          </w:p>
        </w:tc>
      </w:tr>
      <w:tr w:rsidR="005442CF" w:rsidRPr="00B71149" w:rsidTr="00B71149">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5442CF" w:rsidRPr="00B71149" w:rsidRDefault="005442CF" w:rsidP="00B71149">
            <w:pPr>
              <w:spacing w:after="0" w:line="360" w:lineRule="auto"/>
              <w:jc w:val="center"/>
              <w:rPr>
                <w:rFonts w:ascii="Arial" w:eastAsia="Times New Roman" w:hAnsi="Arial" w:cs="Arial"/>
                <w:b/>
                <w:lang w:val="es-ES" w:eastAsia="es-ES"/>
              </w:rPr>
            </w:pPr>
            <w:r w:rsidRPr="00B71149">
              <w:rPr>
                <w:rFonts w:ascii="Arial" w:hAnsi="Arial" w:cs="Arial"/>
                <w:b/>
              </w:rPr>
              <w:t>Número de artículo 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5442CF" w:rsidRPr="00B71149" w:rsidRDefault="005442CF" w:rsidP="00B71149">
            <w:pPr>
              <w:spacing w:after="0" w:line="360" w:lineRule="auto"/>
              <w:jc w:val="center"/>
              <w:rPr>
                <w:rFonts w:ascii="Arial" w:eastAsia="Times New Roman" w:hAnsi="Arial" w:cs="Arial"/>
                <w:b/>
                <w:lang w:val="es-ES" w:eastAsia="es-ES"/>
              </w:rPr>
            </w:pPr>
            <w:r w:rsidRPr="00B71149">
              <w:rPr>
                <w:rFonts w:ascii="Arial" w:hAnsi="Arial" w:cs="Arial"/>
                <w:b/>
              </w:rPr>
              <w:t>Número de artículo del Texto de Referencia (Ley 3</w:t>
            </w:r>
            <w:r w:rsidR="00E41F35">
              <w:rPr>
                <w:rFonts w:ascii="Arial" w:hAnsi="Arial" w:cs="Arial"/>
                <w:b/>
              </w:rPr>
              <w:t>.</w:t>
            </w:r>
            <w:r w:rsidRPr="00B71149">
              <w:rPr>
                <w:rFonts w:ascii="Arial" w:hAnsi="Arial" w:cs="Arial"/>
                <w:b/>
              </w:rPr>
              <w:t>073)</w:t>
            </w:r>
          </w:p>
        </w:tc>
        <w:tc>
          <w:tcPr>
            <w:tcW w:w="3240" w:type="dxa"/>
            <w:tcBorders>
              <w:top w:val="single" w:sz="4" w:space="0" w:color="auto"/>
              <w:left w:val="single" w:sz="4" w:space="0" w:color="auto"/>
              <w:bottom w:val="single" w:sz="4" w:space="0" w:color="auto"/>
              <w:right w:val="single" w:sz="4" w:space="0" w:color="auto"/>
            </w:tcBorders>
            <w:vAlign w:val="center"/>
            <w:hideMark/>
          </w:tcPr>
          <w:p w:rsidR="005442CF" w:rsidRPr="00B71149" w:rsidRDefault="005442CF" w:rsidP="00B71149">
            <w:pPr>
              <w:spacing w:after="0" w:line="360" w:lineRule="auto"/>
              <w:jc w:val="center"/>
              <w:rPr>
                <w:rFonts w:ascii="Arial" w:eastAsia="Times New Roman" w:hAnsi="Arial" w:cs="Arial"/>
                <w:b/>
                <w:lang w:val="es-ES" w:eastAsia="es-ES"/>
              </w:rPr>
            </w:pPr>
            <w:r w:rsidRPr="00B71149">
              <w:rPr>
                <w:rFonts w:ascii="Arial" w:hAnsi="Arial" w:cs="Arial"/>
                <w:b/>
              </w:rPr>
              <w:t>Observaciones</w:t>
            </w:r>
          </w:p>
        </w:tc>
      </w:tr>
      <w:tr w:rsidR="005442CF" w:rsidRPr="00B71149" w:rsidTr="00B71149">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5442CF" w:rsidRPr="00B71149" w:rsidRDefault="005442CF" w:rsidP="00B71149">
            <w:pPr>
              <w:spacing w:after="0" w:line="360" w:lineRule="auto"/>
              <w:jc w:val="center"/>
              <w:rPr>
                <w:rFonts w:ascii="Arial" w:eastAsia="Times New Roman" w:hAnsi="Arial" w:cs="Arial"/>
                <w:lang w:val="es-ES" w:eastAsia="es-ES"/>
              </w:rPr>
            </w:pPr>
            <w:r w:rsidRPr="00B71149">
              <w:rPr>
                <w:rFonts w:ascii="Arial" w:hAnsi="Arial" w:cs="Arial"/>
              </w:rPr>
              <w:t>La numeración de los artículos del Texto Definitivo corresponde a la numeración original de la Ley 3</w:t>
            </w:r>
            <w:r w:rsidR="00E41F35">
              <w:rPr>
                <w:rFonts w:ascii="Arial" w:hAnsi="Arial" w:cs="Arial"/>
              </w:rPr>
              <w:t>.</w:t>
            </w:r>
            <w:r w:rsidRPr="00B71149">
              <w:rPr>
                <w:rFonts w:ascii="Arial" w:hAnsi="Arial" w:cs="Arial"/>
              </w:rPr>
              <w:t>073</w:t>
            </w:r>
          </w:p>
        </w:tc>
      </w:tr>
    </w:tbl>
    <w:p w:rsidR="005442CF" w:rsidRPr="00B71149" w:rsidRDefault="005442CF" w:rsidP="00B71149">
      <w:pPr>
        <w:spacing w:after="0" w:line="360" w:lineRule="auto"/>
        <w:rPr>
          <w:rFonts w:ascii="Arial" w:hAnsi="Arial" w:cs="Arial"/>
        </w:rPr>
      </w:pPr>
    </w:p>
    <w:p w:rsidR="005442CF" w:rsidRPr="00B71149" w:rsidRDefault="005442CF" w:rsidP="00B71149">
      <w:pPr>
        <w:spacing w:after="0" w:line="360" w:lineRule="auto"/>
        <w:jc w:val="both"/>
        <w:rPr>
          <w:rFonts w:ascii="Arial" w:hAnsi="Arial" w:cs="Arial"/>
          <w:b/>
        </w:rPr>
      </w:pPr>
      <w:r w:rsidRPr="00B71149">
        <w:rPr>
          <w:rFonts w:ascii="Arial" w:hAnsi="Arial" w:cs="Arial"/>
          <w:b/>
        </w:rPr>
        <w:t>Observaciones Generales</w:t>
      </w:r>
    </w:p>
    <w:p w:rsidR="005442CF" w:rsidRPr="00B71149" w:rsidRDefault="005442CF" w:rsidP="00A04D58">
      <w:pPr>
        <w:pStyle w:val="Prrafodelista"/>
        <w:numPr>
          <w:ilvl w:val="0"/>
          <w:numId w:val="2"/>
        </w:numPr>
        <w:spacing w:after="0" w:line="360" w:lineRule="auto"/>
        <w:ind w:left="567" w:hanging="567"/>
        <w:jc w:val="both"/>
        <w:rPr>
          <w:rFonts w:ascii="Arial" w:hAnsi="Arial" w:cs="Arial"/>
        </w:rPr>
      </w:pPr>
      <w:r w:rsidRPr="00B71149">
        <w:rPr>
          <w:rFonts w:ascii="Arial" w:hAnsi="Arial" w:cs="Arial"/>
        </w:rPr>
        <w:t># La presente Norma contiene remisiones externas #</w:t>
      </w:r>
    </w:p>
    <w:p w:rsidR="005442CF" w:rsidRPr="00B71149" w:rsidRDefault="005442CF" w:rsidP="00A04D58">
      <w:pPr>
        <w:pStyle w:val="Prrafodelista"/>
        <w:numPr>
          <w:ilvl w:val="0"/>
          <w:numId w:val="2"/>
        </w:numPr>
        <w:spacing w:after="0" w:line="360" w:lineRule="auto"/>
        <w:ind w:left="567" w:hanging="567"/>
        <w:jc w:val="both"/>
        <w:rPr>
          <w:rFonts w:ascii="Arial" w:hAnsi="Arial" w:cs="Arial"/>
        </w:rPr>
      </w:pPr>
      <w:r w:rsidRPr="00B71149">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537593" w:rsidRPr="00B71149" w:rsidRDefault="00537593" w:rsidP="00A04D58">
      <w:pPr>
        <w:pStyle w:val="Prrafodelista"/>
        <w:numPr>
          <w:ilvl w:val="0"/>
          <w:numId w:val="2"/>
        </w:numPr>
        <w:spacing w:after="0" w:line="360" w:lineRule="auto"/>
        <w:ind w:left="567" w:hanging="567"/>
        <w:jc w:val="both"/>
        <w:rPr>
          <w:rFonts w:ascii="Arial" w:hAnsi="Arial" w:cs="Arial"/>
        </w:rPr>
      </w:pPr>
      <w:r w:rsidRPr="00B71149">
        <w:rPr>
          <w:rFonts w:ascii="Arial" w:hAnsi="Arial" w:cs="Arial"/>
        </w:rPr>
        <w:t xml:space="preserve">En la confección del presente Texto Definitivo se reformó la redacción del artículo 3°, suprimiendo la última parte del texto original por haber vencido </w:t>
      </w:r>
      <w:r w:rsidR="008B3C4F">
        <w:rPr>
          <w:rFonts w:ascii="Arial" w:hAnsi="Arial" w:cs="Arial"/>
        </w:rPr>
        <w:t>el plazo referido en el mismo.</w:t>
      </w:r>
    </w:p>
    <w:sectPr w:rsidR="00537593" w:rsidRPr="00B71149" w:rsidSect="00B7114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432484"/>
    <w:multiLevelType w:val="hybridMultilevel"/>
    <w:tmpl w:val="1398074A"/>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
    <w:nsid w:val="3E6724E8"/>
    <w:multiLevelType w:val="hybridMultilevel"/>
    <w:tmpl w:val="89AAC2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58EC0DE8"/>
    <w:multiLevelType w:val="hybridMultilevel"/>
    <w:tmpl w:val="7CF89D2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E500B17"/>
    <w:multiLevelType w:val="hybridMultilevel"/>
    <w:tmpl w:val="30B0202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B8293A"/>
    <w:rsid w:val="001B6109"/>
    <w:rsid w:val="00337BB1"/>
    <w:rsid w:val="003646A2"/>
    <w:rsid w:val="004B1F23"/>
    <w:rsid w:val="00537593"/>
    <w:rsid w:val="005442CF"/>
    <w:rsid w:val="006B3FD9"/>
    <w:rsid w:val="008B3C4F"/>
    <w:rsid w:val="00A04D58"/>
    <w:rsid w:val="00A35DB4"/>
    <w:rsid w:val="00AD0263"/>
    <w:rsid w:val="00B31184"/>
    <w:rsid w:val="00B71149"/>
    <w:rsid w:val="00B8293A"/>
    <w:rsid w:val="00BE60B1"/>
    <w:rsid w:val="00E37BD7"/>
    <w:rsid w:val="00E41F3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93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B82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B8293A"/>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B8293A"/>
    <w:rPr>
      <w:rFonts w:ascii="Times New Roman" w:eastAsia="Times New Roman" w:hAnsi="Times New Roman" w:cs="Times New Roman"/>
      <w:b/>
      <w:sz w:val="24"/>
      <w:szCs w:val="20"/>
      <w:lang w:val="es-ES" w:eastAsia="es-ES"/>
    </w:rPr>
  </w:style>
  <w:style w:type="paragraph" w:styleId="Prrafodelista">
    <w:name w:val="List Paragraph"/>
    <w:basedOn w:val="Normal"/>
    <w:uiPriority w:val="34"/>
    <w:qFormat/>
    <w:rsid w:val="005442CF"/>
    <w:pPr>
      <w:ind w:left="720"/>
      <w:contextualSpacing/>
    </w:pPr>
  </w:style>
  <w:style w:type="paragraph" w:styleId="Textosinformato">
    <w:name w:val="Plain Text"/>
    <w:basedOn w:val="Normal"/>
    <w:link w:val="TextosinformatoCar"/>
    <w:unhideWhenUsed/>
    <w:rsid w:val="005442CF"/>
    <w:pPr>
      <w:spacing w:after="0" w:line="240" w:lineRule="auto"/>
    </w:pPr>
    <w:rPr>
      <w:rFonts w:ascii="Courier New" w:eastAsia="Times New Roman" w:hAnsi="Courier New" w:cs="Times New Roman"/>
      <w:sz w:val="20"/>
      <w:szCs w:val="24"/>
      <w:lang w:val="es-ES" w:eastAsia="es-ES"/>
    </w:rPr>
  </w:style>
  <w:style w:type="character" w:customStyle="1" w:styleId="TextosinformatoCar">
    <w:name w:val="Texto sin formato Car"/>
    <w:basedOn w:val="Fuentedeprrafopredeter"/>
    <w:link w:val="Textosinformato"/>
    <w:rsid w:val="005442CF"/>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divs>
    <w:div w:id="1733774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416</Words>
  <Characters>2290</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8</cp:revision>
  <dcterms:created xsi:type="dcterms:W3CDTF">2014-10-18T22:55:00Z</dcterms:created>
  <dcterms:modified xsi:type="dcterms:W3CDTF">2015-10-29T15:30:00Z</dcterms:modified>
</cp:coreProperties>
</file>