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75F" w:rsidRDefault="00ED4EDD" w:rsidP="0043075F">
      <w:pPr>
        <w:spacing w:line="360" w:lineRule="auto"/>
        <w:rPr>
          <w:rFonts w:ascii="Arial" w:hAnsi="Arial" w:cs="Arial"/>
          <w:b/>
          <w:sz w:val="22"/>
          <w:szCs w:val="22"/>
        </w:rPr>
      </w:pPr>
      <w:r w:rsidRPr="0011545E">
        <w:rPr>
          <w:rFonts w:ascii="Arial" w:hAnsi="Arial" w:cs="Arial"/>
          <w:b/>
          <w:sz w:val="22"/>
          <w:szCs w:val="22"/>
        </w:rPr>
        <w:t>LC-3059</w:t>
      </w:r>
    </w:p>
    <w:p w:rsidR="0043075F" w:rsidRDefault="0043075F" w:rsidP="0043075F">
      <w:pPr>
        <w:spacing w:line="360" w:lineRule="auto"/>
        <w:rPr>
          <w:rFonts w:ascii="Arial" w:hAnsi="Arial" w:cs="Arial"/>
          <w:b/>
          <w:sz w:val="22"/>
          <w:szCs w:val="22"/>
        </w:rPr>
      </w:pPr>
    </w:p>
    <w:p w:rsidR="0009329B" w:rsidRPr="0011545E" w:rsidRDefault="0009329B" w:rsidP="0043075F">
      <w:pPr>
        <w:spacing w:line="360" w:lineRule="auto"/>
        <w:jc w:val="center"/>
        <w:rPr>
          <w:rFonts w:ascii="Arial" w:hAnsi="Arial" w:cs="Arial"/>
          <w:b/>
          <w:sz w:val="22"/>
          <w:szCs w:val="22"/>
        </w:rPr>
      </w:pPr>
      <w:r w:rsidRPr="0011545E">
        <w:rPr>
          <w:rFonts w:ascii="Arial" w:hAnsi="Arial" w:cs="Arial"/>
          <w:b/>
          <w:sz w:val="22"/>
          <w:szCs w:val="22"/>
        </w:rPr>
        <w:t xml:space="preserve">LEY </w:t>
      </w:r>
      <w:r w:rsidR="00C44485" w:rsidRPr="0011545E">
        <w:rPr>
          <w:rFonts w:ascii="Arial" w:hAnsi="Arial" w:cs="Arial"/>
          <w:b/>
          <w:sz w:val="22"/>
          <w:szCs w:val="22"/>
        </w:rPr>
        <w:t>L</w:t>
      </w:r>
      <w:r w:rsidRPr="0011545E">
        <w:rPr>
          <w:rFonts w:ascii="Arial" w:hAnsi="Arial" w:cs="Arial"/>
          <w:b/>
          <w:sz w:val="22"/>
          <w:szCs w:val="22"/>
        </w:rPr>
        <w:t xml:space="preserve"> - </w:t>
      </w:r>
      <w:r w:rsidR="00FF7AEB" w:rsidRPr="0011545E">
        <w:rPr>
          <w:rFonts w:ascii="Arial" w:hAnsi="Arial" w:cs="Arial"/>
          <w:b/>
          <w:sz w:val="22"/>
          <w:szCs w:val="22"/>
        </w:rPr>
        <w:t>N° 3</w:t>
      </w:r>
      <w:r w:rsidR="00040379">
        <w:rPr>
          <w:rFonts w:ascii="Arial" w:hAnsi="Arial" w:cs="Arial"/>
          <w:b/>
          <w:sz w:val="22"/>
          <w:szCs w:val="22"/>
        </w:rPr>
        <w:t>.</w:t>
      </w:r>
      <w:r w:rsidR="00FF7AEB" w:rsidRPr="0011545E">
        <w:rPr>
          <w:rFonts w:ascii="Arial" w:hAnsi="Arial" w:cs="Arial"/>
          <w:b/>
          <w:sz w:val="22"/>
          <w:szCs w:val="22"/>
        </w:rPr>
        <w:t>059</w:t>
      </w:r>
    </w:p>
    <w:p w:rsidR="0011545E" w:rsidRDefault="0011545E" w:rsidP="0011545E">
      <w:pPr>
        <w:pStyle w:val="NormalWeb"/>
        <w:spacing w:before="0" w:beforeAutospacing="0" w:after="0" w:afterAutospacing="0" w:line="360" w:lineRule="auto"/>
        <w:jc w:val="both"/>
        <w:rPr>
          <w:rFonts w:ascii="Arial" w:hAnsi="Arial" w:cs="Arial"/>
          <w:sz w:val="22"/>
          <w:szCs w:val="22"/>
        </w:rPr>
      </w:pPr>
    </w:p>
    <w:p w:rsidR="00FF7AEB" w:rsidRPr="0011545E" w:rsidRDefault="00FF7AEB" w:rsidP="0011545E">
      <w:pPr>
        <w:pStyle w:val="NormalWeb"/>
        <w:spacing w:before="0" w:beforeAutospacing="0" w:after="0" w:afterAutospacing="0" w:line="360" w:lineRule="auto"/>
        <w:jc w:val="both"/>
        <w:rPr>
          <w:rFonts w:ascii="Arial" w:hAnsi="Arial" w:cs="Arial"/>
          <w:color w:val="000000"/>
          <w:sz w:val="22"/>
          <w:szCs w:val="22"/>
        </w:rPr>
      </w:pPr>
      <w:r w:rsidRPr="0011545E">
        <w:rPr>
          <w:rStyle w:val="Textoennegrita"/>
          <w:rFonts w:ascii="Arial" w:hAnsi="Arial" w:cs="Arial"/>
          <w:b w:val="0"/>
          <w:color w:val="000000"/>
          <w:sz w:val="22"/>
          <w:szCs w:val="22"/>
        </w:rPr>
        <w:t>Artículo 1°.-</w:t>
      </w:r>
      <w:r w:rsidRPr="0011545E">
        <w:rPr>
          <w:rFonts w:ascii="Arial" w:hAnsi="Arial" w:cs="Arial"/>
          <w:color w:val="000000"/>
          <w:sz w:val="22"/>
          <w:szCs w:val="22"/>
        </w:rPr>
        <w:t xml:space="preserve"> Declárase la Emergencia Urbanística y Ambiental, del polígono delimitado por la Avenida Sáenz, Avenida Amancio Alcorta, calle Iguazú y margen norte del Riachuelo, correspondiente a la zona Sur Este del Barrio de Nueva Pompeya.</w:t>
      </w:r>
    </w:p>
    <w:p w:rsidR="0011545E" w:rsidRDefault="0011545E" w:rsidP="0011545E">
      <w:pPr>
        <w:pStyle w:val="NormalWeb"/>
        <w:spacing w:before="0" w:beforeAutospacing="0" w:after="0" w:afterAutospacing="0" w:line="360" w:lineRule="auto"/>
        <w:jc w:val="both"/>
        <w:rPr>
          <w:rStyle w:val="Textoennegrita"/>
          <w:rFonts w:ascii="Arial" w:hAnsi="Arial" w:cs="Arial"/>
          <w:b w:val="0"/>
          <w:color w:val="000000"/>
          <w:sz w:val="22"/>
          <w:szCs w:val="22"/>
        </w:rPr>
      </w:pPr>
    </w:p>
    <w:p w:rsidR="00FF7AEB" w:rsidRPr="0011545E" w:rsidRDefault="00FF7AEB" w:rsidP="0011545E">
      <w:pPr>
        <w:pStyle w:val="NormalWeb"/>
        <w:spacing w:before="0" w:beforeAutospacing="0" w:after="0" w:afterAutospacing="0" w:line="360" w:lineRule="auto"/>
        <w:jc w:val="both"/>
        <w:rPr>
          <w:rFonts w:ascii="Arial" w:hAnsi="Arial" w:cs="Arial"/>
          <w:color w:val="000000"/>
          <w:sz w:val="22"/>
          <w:szCs w:val="22"/>
        </w:rPr>
      </w:pPr>
      <w:r w:rsidRPr="0011545E">
        <w:rPr>
          <w:rStyle w:val="Textoennegrita"/>
          <w:rFonts w:ascii="Arial" w:hAnsi="Arial" w:cs="Arial"/>
          <w:b w:val="0"/>
          <w:color w:val="000000"/>
          <w:sz w:val="22"/>
          <w:szCs w:val="22"/>
        </w:rPr>
        <w:t>Artículo 2°.</w:t>
      </w:r>
      <w:r w:rsidRPr="0011545E">
        <w:rPr>
          <w:rFonts w:ascii="Arial" w:hAnsi="Arial" w:cs="Arial"/>
          <w:color w:val="000000"/>
          <w:sz w:val="22"/>
          <w:szCs w:val="22"/>
        </w:rPr>
        <w:t>- El Poder Ejecutivo formulará dentro de los sesenta (60) días de promulgada la presente un programa de ordenamiento territorial y puesta en valor para el polígono señalado en el artículo 1, y en los siguientes trescientos sesenta (360) días ejecutará las acciones necesarias para llevar adelante el programa. Dichos programas y acciones deberán incluir:</w:t>
      </w:r>
    </w:p>
    <w:p w:rsidR="00C44485" w:rsidRDefault="00FF7AEB" w:rsidP="0043075F">
      <w:pPr>
        <w:pStyle w:val="NormalWeb"/>
        <w:numPr>
          <w:ilvl w:val="0"/>
          <w:numId w:val="3"/>
        </w:numPr>
        <w:spacing w:before="0" w:beforeAutospacing="0" w:after="0" w:afterAutospacing="0" w:line="360" w:lineRule="auto"/>
        <w:ind w:left="567" w:hanging="567"/>
        <w:jc w:val="both"/>
        <w:rPr>
          <w:rFonts w:ascii="Arial" w:hAnsi="Arial" w:cs="Arial"/>
          <w:color w:val="000000"/>
          <w:sz w:val="22"/>
          <w:szCs w:val="22"/>
        </w:rPr>
      </w:pPr>
      <w:r w:rsidRPr="0011545E">
        <w:rPr>
          <w:rFonts w:ascii="Arial" w:hAnsi="Arial" w:cs="Arial"/>
          <w:color w:val="000000"/>
          <w:sz w:val="22"/>
          <w:szCs w:val="22"/>
        </w:rPr>
        <w:t xml:space="preserve">La verificación de la situación </w:t>
      </w:r>
      <w:proofErr w:type="spellStart"/>
      <w:r w:rsidRPr="0011545E">
        <w:rPr>
          <w:rFonts w:ascii="Arial" w:hAnsi="Arial" w:cs="Arial"/>
          <w:color w:val="000000"/>
          <w:sz w:val="22"/>
          <w:szCs w:val="22"/>
        </w:rPr>
        <w:t>dominial</w:t>
      </w:r>
      <w:proofErr w:type="spellEnd"/>
      <w:r w:rsidRPr="0011545E">
        <w:rPr>
          <w:rFonts w:ascii="Arial" w:hAnsi="Arial" w:cs="Arial"/>
          <w:color w:val="000000"/>
          <w:sz w:val="22"/>
          <w:szCs w:val="22"/>
        </w:rPr>
        <w:t>, impositiva y estado edilicio de los inmuebles y predios del polígono.</w:t>
      </w:r>
    </w:p>
    <w:p w:rsidR="00C44485" w:rsidRDefault="00FF7AEB" w:rsidP="0011545E">
      <w:pPr>
        <w:pStyle w:val="NormalWeb"/>
        <w:numPr>
          <w:ilvl w:val="0"/>
          <w:numId w:val="3"/>
        </w:numPr>
        <w:spacing w:before="0" w:beforeAutospacing="0" w:after="0" w:afterAutospacing="0" w:line="360" w:lineRule="auto"/>
        <w:ind w:left="567" w:hanging="567"/>
        <w:jc w:val="both"/>
        <w:rPr>
          <w:rFonts w:ascii="Arial" w:hAnsi="Arial" w:cs="Arial"/>
          <w:color w:val="000000"/>
          <w:sz w:val="22"/>
          <w:szCs w:val="22"/>
        </w:rPr>
      </w:pPr>
      <w:r w:rsidRPr="0043075F">
        <w:rPr>
          <w:rFonts w:ascii="Arial" w:hAnsi="Arial" w:cs="Arial"/>
          <w:color w:val="000000"/>
          <w:sz w:val="22"/>
          <w:szCs w:val="22"/>
        </w:rPr>
        <w:t>En función del punto anterior, los inmuebles de propiedad del Gobierno de la Ciudad que se encuentren sin uso deberán contemplar el desarrollo de proyectos prioritariamente culturales-educativos.</w:t>
      </w:r>
    </w:p>
    <w:p w:rsidR="00C44485" w:rsidRDefault="00FF7AEB" w:rsidP="0011545E">
      <w:pPr>
        <w:pStyle w:val="NormalWeb"/>
        <w:numPr>
          <w:ilvl w:val="0"/>
          <w:numId w:val="3"/>
        </w:numPr>
        <w:spacing w:before="0" w:beforeAutospacing="0" w:after="0" w:afterAutospacing="0" w:line="360" w:lineRule="auto"/>
        <w:ind w:left="567" w:hanging="567"/>
        <w:jc w:val="both"/>
        <w:rPr>
          <w:rFonts w:ascii="Arial" w:hAnsi="Arial" w:cs="Arial"/>
          <w:color w:val="000000"/>
          <w:sz w:val="22"/>
          <w:szCs w:val="22"/>
        </w:rPr>
      </w:pPr>
      <w:r w:rsidRPr="0043075F">
        <w:rPr>
          <w:rFonts w:ascii="Arial" w:hAnsi="Arial" w:cs="Arial"/>
          <w:color w:val="000000"/>
          <w:sz w:val="22"/>
          <w:szCs w:val="22"/>
        </w:rPr>
        <w:t>La verificación de las habilitaciones correspondientes, en los establecimientos donde se desarrollen actividades industriales, y en caso de encontrarse irregularidades proceder según la normativa vigente.</w:t>
      </w:r>
    </w:p>
    <w:p w:rsidR="00C44485" w:rsidRDefault="00FF7AEB" w:rsidP="0011545E">
      <w:pPr>
        <w:pStyle w:val="NormalWeb"/>
        <w:numPr>
          <w:ilvl w:val="0"/>
          <w:numId w:val="3"/>
        </w:numPr>
        <w:spacing w:before="0" w:beforeAutospacing="0" w:after="0" w:afterAutospacing="0" w:line="360" w:lineRule="auto"/>
        <w:ind w:left="567" w:hanging="567"/>
        <w:jc w:val="both"/>
        <w:rPr>
          <w:rFonts w:ascii="Arial" w:hAnsi="Arial" w:cs="Arial"/>
          <w:color w:val="000000"/>
          <w:sz w:val="22"/>
          <w:szCs w:val="22"/>
        </w:rPr>
      </w:pPr>
      <w:r w:rsidRPr="0043075F">
        <w:rPr>
          <w:rFonts w:ascii="Arial" w:hAnsi="Arial" w:cs="Arial"/>
          <w:color w:val="000000"/>
          <w:sz w:val="22"/>
          <w:szCs w:val="22"/>
        </w:rPr>
        <w:t>La verificación de su funcionamiento, en cuanto al manejo de sus residuos, y su situación en los registros de generadores.</w:t>
      </w:r>
    </w:p>
    <w:p w:rsidR="00C44485" w:rsidRDefault="00FF7AEB" w:rsidP="0011545E">
      <w:pPr>
        <w:pStyle w:val="NormalWeb"/>
        <w:numPr>
          <w:ilvl w:val="0"/>
          <w:numId w:val="3"/>
        </w:numPr>
        <w:spacing w:before="0" w:beforeAutospacing="0" w:after="0" w:afterAutospacing="0" w:line="360" w:lineRule="auto"/>
        <w:ind w:left="567" w:hanging="567"/>
        <w:jc w:val="both"/>
        <w:rPr>
          <w:rFonts w:ascii="Arial" w:hAnsi="Arial" w:cs="Arial"/>
          <w:color w:val="000000"/>
          <w:sz w:val="22"/>
          <w:szCs w:val="22"/>
        </w:rPr>
      </w:pPr>
      <w:r w:rsidRPr="0043075F">
        <w:rPr>
          <w:rFonts w:ascii="Arial" w:hAnsi="Arial" w:cs="Arial"/>
          <w:color w:val="000000"/>
          <w:sz w:val="22"/>
          <w:szCs w:val="22"/>
        </w:rPr>
        <w:t>La verificación, en esos establecimientos, del cumplimiento del procedimiento establecido en la Ley N° 123</w:t>
      </w:r>
      <w:r w:rsidR="00C44485" w:rsidRPr="0043075F">
        <w:rPr>
          <w:rFonts w:ascii="Arial" w:hAnsi="Arial" w:cs="Arial"/>
          <w:color w:val="000000"/>
          <w:sz w:val="22"/>
          <w:szCs w:val="22"/>
        </w:rPr>
        <w:t xml:space="preserve"> #</w:t>
      </w:r>
      <w:r w:rsidRPr="0043075F">
        <w:rPr>
          <w:rFonts w:ascii="Arial" w:hAnsi="Arial" w:cs="Arial"/>
          <w:color w:val="000000"/>
          <w:sz w:val="22"/>
          <w:szCs w:val="22"/>
        </w:rPr>
        <w:t xml:space="preserve"> de Evaluación de Impacto Ambiental.</w:t>
      </w:r>
    </w:p>
    <w:p w:rsidR="00C44485" w:rsidRDefault="00FF7AEB" w:rsidP="0011545E">
      <w:pPr>
        <w:pStyle w:val="NormalWeb"/>
        <w:numPr>
          <w:ilvl w:val="0"/>
          <w:numId w:val="3"/>
        </w:numPr>
        <w:spacing w:before="0" w:beforeAutospacing="0" w:after="0" w:afterAutospacing="0" w:line="360" w:lineRule="auto"/>
        <w:ind w:left="567" w:hanging="567"/>
        <w:jc w:val="both"/>
        <w:rPr>
          <w:rFonts w:ascii="Arial" w:hAnsi="Arial" w:cs="Arial"/>
          <w:color w:val="000000"/>
          <w:sz w:val="22"/>
          <w:szCs w:val="22"/>
        </w:rPr>
      </w:pPr>
      <w:r w:rsidRPr="0043075F">
        <w:rPr>
          <w:rFonts w:ascii="Arial" w:hAnsi="Arial" w:cs="Arial"/>
          <w:color w:val="000000"/>
          <w:sz w:val="22"/>
          <w:szCs w:val="22"/>
        </w:rPr>
        <w:t>La verificación de la correspondencia entre las actividades habilitadas y las efectivamente desarrolladas.</w:t>
      </w:r>
    </w:p>
    <w:p w:rsidR="00C44485" w:rsidRDefault="00FF7AEB" w:rsidP="0011545E">
      <w:pPr>
        <w:pStyle w:val="NormalWeb"/>
        <w:numPr>
          <w:ilvl w:val="0"/>
          <w:numId w:val="3"/>
        </w:numPr>
        <w:spacing w:before="0" w:beforeAutospacing="0" w:after="0" w:afterAutospacing="0" w:line="360" w:lineRule="auto"/>
        <w:ind w:left="567" w:hanging="567"/>
        <w:jc w:val="both"/>
        <w:rPr>
          <w:rFonts w:ascii="Arial" w:hAnsi="Arial" w:cs="Arial"/>
          <w:color w:val="000000"/>
          <w:sz w:val="22"/>
          <w:szCs w:val="22"/>
        </w:rPr>
      </w:pPr>
      <w:r w:rsidRPr="0043075F">
        <w:rPr>
          <w:rFonts w:ascii="Arial" w:hAnsi="Arial" w:cs="Arial"/>
          <w:color w:val="000000"/>
          <w:sz w:val="22"/>
          <w:szCs w:val="22"/>
        </w:rPr>
        <w:t>El estudio estructural de la red vial comprendida en el polígono indicado en el Art. 1° y las obras de rehabilitación resultantes del mismo que permitan resolver la insuficiencia de la capacidad portante de las calzadas para resistir el tránsito pesado intenso.</w:t>
      </w:r>
    </w:p>
    <w:p w:rsidR="00C44485" w:rsidRDefault="00FF7AEB" w:rsidP="0011545E">
      <w:pPr>
        <w:pStyle w:val="NormalWeb"/>
        <w:numPr>
          <w:ilvl w:val="0"/>
          <w:numId w:val="3"/>
        </w:numPr>
        <w:spacing w:before="0" w:beforeAutospacing="0" w:after="0" w:afterAutospacing="0" w:line="360" w:lineRule="auto"/>
        <w:ind w:left="567" w:hanging="567"/>
        <w:jc w:val="both"/>
        <w:rPr>
          <w:rFonts w:ascii="Arial" w:hAnsi="Arial" w:cs="Arial"/>
          <w:color w:val="000000"/>
          <w:sz w:val="22"/>
          <w:szCs w:val="22"/>
        </w:rPr>
      </w:pPr>
      <w:r w:rsidRPr="0043075F">
        <w:rPr>
          <w:rFonts w:ascii="Arial" w:hAnsi="Arial" w:cs="Arial"/>
          <w:color w:val="000000"/>
          <w:sz w:val="22"/>
          <w:szCs w:val="22"/>
        </w:rPr>
        <w:t>La puesta en valor de todas las arterias que recorren el polígono, incluyendo las aceras, mediante los planes vigentes o a través de las metodologías que el Poder Ejecutivo considere convenientes.</w:t>
      </w:r>
    </w:p>
    <w:p w:rsidR="00C44485" w:rsidRDefault="00FF7AEB" w:rsidP="0011545E">
      <w:pPr>
        <w:pStyle w:val="NormalWeb"/>
        <w:numPr>
          <w:ilvl w:val="0"/>
          <w:numId w:val="3"/>
        </w:numPr>
        <w:spacing w:before="0" w:beforeAutospacing="0" w:after="0" w:afterAutospacing="0" w:line="360" w:lineRule="auto"/>
        <w:ind w:left="567" w:hanging="567"/>
        <w:jc w:val="both"/>
        <w:rPr>
          <w:rFonts w:ascii="Arial" w:hAnsi="Arial" w:cs="Arial"/>
          <w:color w:val="000000"/>
          <w:sz w:val="22"/>
          <w:szCs w:val="22"/>
        </w:rPr>
      </w:pPr>
      <w:r w:rsidRPr="0043075F">
        <w:rPr>
          <w:rFonts w:ascii="Arial" w:hAnsi="Arial" w:cs="Arial"/>
          <w:color w:val="000000"/>
          <w:sz w:val="22"/>
          <w:szCs w:val="22"/>
        </w:rPr>
        <w:t>La verificación de las patologías estructurales de las viviendas frentistas, ocurridas a raíz del intenso tránsito pesado, y la ejecución de las reparaciones necesarias para evitar riesgos futuros.</w:t>
      </w:r>
    </w:p>
    <w:p w:rsidR="00C44485" w:rsidRDefault="00FF7AEB" w:rsidP="0011545E">
      <w:pPr>
        <w:pStyle w:val="NormalWeb"/>
        <w:numPr>
          <w:ilvl w:val="0"/>
          <w:numId w:val="3"/>
        </w:numPr>
        <w:spacing w:before="0" w:beforeAutospacing="0" w:after="0" w:afterAutospacing="0" w:line="360" w:lineRule="auto"/>
        <w:ind w:left="567" w:hanging="567"/>
        <w:jc w:val="both"/>
        <w:rPr>
          <w:rFonts w:ascii="Arial" w:hAnsi="Arial" w:cs="Arial"/>
          <w:color w:val="000000"/>
          <w:sz w:val="22"/>
          <w:szCs w:val="22"/>
        </w:rPr>
      </w:pPr>
      <w:r w:rsidRPr="0043075F">
        <w:rPr>
          <w:rFonts w:ascii="Arial" w:hAnsi="Arial" w:cs="Arial"/>
          <w:color w:val="000000"/>
          <w:sz w:val="22"/>
          <w:szCs w:val="22"/>
        </w:rPr>
        <w:t>La prohibición de utilizar el espacio público y las calles interiores de los complejos habitacionales comprendidos en el polígono indicado en el Art.1°, como playa de maniobras.</w:t>
      </w:r>
    </w:p>
    <w:p w:rsidR="00C44485" w:rsidRDefault="00FF7AEB" w:rsidP="0011545E">
      <w:pPr>
        <w:pStyle w:val="NormalWeb"/>
        <w:numPr>
          <w:ilvl w:val="0"/>
          <w:numId w:val="3"/>
        </w:numPr>
        <w:spacing w:before="0" w:beforeAutospacing="0" w:after="0" w:afterAutospacing="0" w:line="360" w:lineRule="auto"/>
        <w:ind w:left="567" w:hanging="567"/>
        <w:jc w:val="both"/>
        <w:rPr>
          <w:rFonts w:ascii="Arial" w:hAnsi="Arial" w:cs="Arial"/>
          <w:color w:val="000000"/>
          <w:sz w:val="22"/>
          <w:szCs w:val="22"/>
        </w:rPr>
      </w:pPr>
      <w:r w:rsidRPr="0043075F">
        <w:rPr>
          <w:rFonts w:ascii="Arial" w:hAnsi="Arial" w:cs="Arial"/>
          <w:color w:val="000000"/>
          <w:sz w:val="22"/>
          <w:szCs w:val="22"/>
        </w:rPr>
        <w:lastRenderedPageBreak/>
        <w:t>La intensificación de acciones de la Autoridad de Control del tránsito y el transporte en la Ciudad, tendientes al fiel cumplimiento del Código de Tránsito y Transporte, conforme Ley N° 2.652</w:t>
      </w:r>
      <w:r w:rsidR="00C44485" w:rsidRPr="0043075F">
        <w:rPr>
          <w:rFonts w:ascii="Arial" w:hAnsi="Arial" w:cs="Arial"/>
          <w:color w:val="000000"/>
          <w:sz w:val="22"/>
          <w:szCs w:val="22"/>
        </w:rPr>
        <w:t xml:space="preserve"> #</w:t>
      </w:r>
      <w:r w:rsidRPr="0043075F">
        <w:rPr>
          <w:rFonts w:ascii="Arial" w:hAnsi="Arial" w:cs="Arial"/>
          <w:color w:val="000000"/>
          <w:sz w:val="22"/>
          <w:szCs w:val="22"/>
        </w:rPr>
        <w:t>, promulgada por Decreto N° 376/2008</w:t>
      </w:r>
      <w:r w:rsidR="00C44485" w:rsidRPr="0043075F">
        <w:rPr>
          <w:rFonts w:ascii="Arial" w:hAnsi="Arial" w:cs="Arial"/>
          <w:color w:val="000000"/>
          <w:sz w:val="22"/>
          <w:szCs w:val="22"/>
        </w:rPr>
        <w:t xml:space="preserve"> #</w:t>
      </w:r>
      <w:r w:rsidRPr="0043075F">
        <w:rPr>
          <w:rFonts w:ascii="Arial" w:hAnsi="Arial" w:cs="Arial"/>
          <w:color w:val="000000"/>
          <w:sz w:val="22"/>
          <w:szCs w:val="22"/>
        </w:rPr>
        <w:t>.</w:t>
      </w:r>
    </w:p>
    <w:p w:rsidR="00C44485" w:rsidRDefault="00FF7AEB" w:rsidP="0011545E">
      <w:pPr>
        <w:pStyle w:val="NormalWeb"/>
        <w:numPr>
          <w:ilvl w:val="0"/>
          <w:numId w:val="3"/>
        </w:numPr>
        <w:spacing w:before="0" w:beforeAutospacing="0" w:after="0" w:afterAutospacing="0" w:line="360" w:lineRule="auto"/>
        <w:ind w:left="567" w:hanging="567"/>
        <w:jc w:val="both"/>
        <w:rPr>
          <w:rFonts w:ascii="Arial" w:hAnsi="Arial" w:cs="Arial"/>
          <w:color w:val="000000"/>
          <w:sz w:val="22"/>
          <w:szCs w:val="22"/>
        </w:rPr>
      </w:pPr>
      <w:r w:rsidRPr="0043075F">
        <w:rPr>
          <w:rFonts w:ascii="Arial" w:hAnsi="Arial" w:cs="Arial"/>
          <w:color w:val="000000"/>
          <w:sz w:val="22"/>
          <w:szCs w:val="22"/>
        </w:rPr>
        <w:t>El estudio de la contaminación del aire, el ruido y sus medidas de mitigación.</w:t>
      </w:r>
    </w:p>
    <w:p w:rsidR="00C44485" w:rsidRDefault="00FF7AEB" w:rsidP="0011545E">
      <w:pPr>
        <w:pStyle w:val="NormalWeb"/>
        <w:numPr>
          <w:ilvl w:val="0"/>
          <w:numId w:val="3"/>
        </w:numPr>
        <w:spacing w:before="0" w:beforeAutospacing="0" w:after="0" w:afterAutospacing="0" w:line="360" w:lineRule="auto"/>
        <w:ind w:left="567" w:hanging="567"/>
        <w:jc w:val="both"/>
        <w:rPr>
          <w:rFonts w:ascii="Arial" w:hAnsi="Arial" w:cs="Arial"/>
          <w:color w:val="000000"/>
          <w:sz w:val="22"/>
          <w:szCs w:val="22"/>
        </w:rPr>
      </w:pPr>
      <w:r w:rsidRPr="0043075F">
        <w:rPr>
          <w:rFonts w:ascii="Arial" w:hAnsi="Arial" w:cs="Arial"/>
          <w:color w:val="000000"/>
          <w:sz w:val="22"/>
          <w:szCs w:val="22"/>
        </w:rPr>
        <w:t>La aplicación de políticas tendientes a resolver la superposición, entre las actividades barriales residenciales preexistentes y los usos devenidos de las afectaciones a distritos industriales actuales, minimizando el peligro y el riesgo de las calles, por la cantidad de camiones de gran porte que las recorren a toda hora.</w:t>
      </w:r>
    </w:p>
    <w:p w:rsidR="0043075F" w:rsidRPr="0043075F" w:rsidRDefault="00FF7AEB" w:rsidP="0043075F">
      <w:pPr>
        <w:pStyle w:val="NormalWeb"/>
        <w:numPr>
          <w:ilvl w:val="0"/>
          <w:numId w:val="3"/>
        </w:numPr>
        <w:spacing w:before="0" w:beforeAutospacing="0" w:after="0" w:afterAutospacing="0" w:line="360" w:lineRule="auto"/>
        <w:ind w:left="567" w:hanging="567"/>
        <w:jc w:val="both"/>
        <w:rPr>
          <w:rFonts w:ascii="Arial" w:hAnsi="Arial" w:cs="Arial"/>
          <w:color w:val="000000"/>
          <w:sz w:val="22"/>
          <w:szCs w:val="22"/>
        </w:rPr>
      </w:pPr>
      <w:r w:rsidRPr="0043075F">
        <w:rPr>
          <w:rFonts w:ascii="Arial" w:hAnsi="Arial" w:cs="Arial"/>
          <w:color w:val="000000"/>
          <w:sz w:val="22"/>
          <w:szCs w:val="22"/>
        </w:rPr>
        <w:t>Verificación del cumplimiento estricto de los artículos 7.1.4 y 7.1.5</w:t>
      </w:r>
      <w:r w:rsidR="00C44485" w:rsidRPr="0043075F">
        <w:rPr>
          <w:rFonts w:ascii="Arial" w:hAnsi="Arial" w:cs="Arial"/>
          <w:color w:val="000000"/>
          <w:sz w:val="22"/>
          <w:szCs w:val="22"/>
        </w:rPr>
        <w:t xml:space="preserve"> #</w:t>
      </w:r>
      <w:r w:rsidRPr="0043075F">
        <w:rPr>
          <w:rFonts w:ascii="Arial" w:hAnsi="Arial" w:cs="Arial"/>
          <w:color w:val="000000"/>
          <w:sz w:val="22"/>
          <w:szCs w:val="22"/>
        </w:rPr>
        <w:t xml:space="preserve"> del Código de Tránsito y Transporte, especialmente en la calle </w:t>
      </w:r>
      <w:proofErr w:type="spellStart"/>
      <w:r w:rsidRPr="0043075F">
        <w:rPr>
          <w:rFonts w:ascii="Arial" w:hAnsi="Arial" w:cs="Arial"/>
          <w:color w:val="000000"/>
          <w:sz w:val="22"/>
          <w:szCs w:val="22"/>
        </w:rPr>
        <w:t>Pepirí</w:t>
      </w:r>
      <w:proofErr w:type="spellEnd"/>
      <w:r w:rsidRPr="0043075F">
        <w:rPr>
          <w:rFonts w:ascii="Arial" w:hAnsi="Arial" w:cs="Arial"/>
          <w:color w:val="000000"/>
          <w:sz w:val="22"/>
          <w:szCs w:val="22"/>
        </w:rPr>
        <w:t>, entre Avenida Amancio Alcorta y Osvaldo Cruz.</w:t>
      </w:r>
    </w:p>
    <w:p w:rsidR="00FF7AEB" w:rsidRPr="0011545E" w:rsidRDefault="0043075F" w:rsidP="0043075F">
      <w:pPr>
        <w:pStyle w:val="NormalWeb"/>
        <w:spacing w:before="0" w:beforeAutospacing="0" w:after="0" w:afterAutospacing="0" w:line="360" w:lineRule="auto"/>
        <w:ind w:left="567" w:hanging="567"/>
        <w:jc w:val="both"/>
        <w:rPr>
          <w:rFonts w:ascii="Arial" w:hAnsi="Arial" w:cs="Arial"/>
          <w:color w:val="000000"/>
          <w:sz w:val="22"/>
          <w:szCs w:val="22"/>
        </w:rPr>
      </w:pPr>
      <w:r>
        <w:rPr>
          <w:rFonts w:ascii="Arial" w:hAnsi="Arial" w:cs="Arial"/>
          <w:color w:val="000000"/>
          <w:sz w:val="22"/>
          <w:szCs w:val="22"/>
        </w:rPr>
        <w:t>ñ.</w:t>
      </w:r>
      <w:r>
        <w:rPr>
          <w:rFonts w:ascii="Arial" w:hAnsi="Arial" w:cs="Arial"/>
          <w:color w:val="000000"/>
          <w:sz w:val="22"/>
          <w:szCs w:val="22"/>
        </w:rPr>
        <w:tab/>
      </w:r>
      <w:r w:rsidR="00FF7AEB" w:rsidRPr="0011545E">
        <w:rPr>
          <w:rFonts w:ascii="Arial" w:hAnsi="Arial" w:cs="Arial"/>
          <w:color w:val="000000"/>
          <w:sz w:val="22"/>
          <w:szCs w:val="22"/>
        </w:rPr>
        <w:t xml:space="preserve">Realización de un estudio de tránsito con el fin de asignar sentido único de circulación a los tramos de las calles Diógenes </w:t>
      </w:r>
      <w:proofErr w:type="spellStart"/>
      <w:r w:rsidR="00FF7AEB" w:rsidRPr="0011545E">
        <w:rPr>
          <w:rFonts w:ascii="Arial" w:hAnsi="Arial" w:cs="Arial"/>
          <w:color w:val="000000"/>
          <w:sz w:val="22"/>
          <w:szCs w:val="22"/>
        </w:rPr>
        <w:t>Taborda</w:t>
      </w:r>
      <w:proofErr w:type="spellEnd"/>
      <w:r w:rsidR="00FF7AEB" w:rsidRPr="0011545E">
        <w:rPr>
          <w:rFonts w:ascii="Arial" w:hAnsi="Arial" w:cs="Arial"/>
          <w:color w:val="000000"/>
          <w:sz w:val="22"/>
          <w:szCs w:val="22"/>
        </w:rPr>
        <w:t>, Santo Domingo e Iguazú, interiores al polígono.</w:t>
      </w:r>
    </w:p>
    <w:p w:rsidR="0011545E" w:rsidRDefault="0011545E" w:rsidP="0011545E">
      <w:pPr>
        <w:pStyle w:val="NormalWeb"/>
        <w:spacing w:before="0" w:beforeAutospacing="0" w:after="0" w:afterAutospacing="0" w:line="360" w:lineRule="auto"/>
        <w:jc w:val="both"/>
        <w:rPr>
          <w:rStyle w:val="Textoennegrita"/>
          <w:rFonts w:ascii="Arial" w:hAnsi="Arial" w:cs="Arial"/>
          <w:b w:val="0"/>
          <w:color w:val="000000"/>
          <w:sz w:val="22"/>
          <w:szCs w:val="22"/>
        </w:rPr>
      </w:pPr>
    </w:p>
    <w:p w:rsidR="00FF7AEB" w:rsidRPr="0011545E" w:rsidRDefault="00FF7AEB" w:rsidP="0011545E">
      <w:pPr>
        <w:pStyle w:val="NormalWeb"/>
        <w:spacing w:before="0" w:beforeAutospacing="0" w:after="0" w:afterAutospacing="0" w:line="360" w:lineRule="auto"/>
        <w:jc w:val="both"/>
        <w:rPr>
          <w:rFonts w:ascii="Arial" w:hAnsi="Arial" w:cs="Arial"/>
          <w:color w:val="000000"/>
          <w:sz w:val="22"/>
          <w:szCs w:val="22"/>
        </w:rPr>
      </w:pPr>
      <w:r w:rsidRPr="0011545E">
        <w:rPr>
          <w:rStyle w:val="Textoennegrita"/>
          <w:rFonts w:ascii="Arial" w:hAnsi="Arial" w:cs="Arial"/>
          <w:b w:val="0"/>
          <w:color w:val="000000"/>
          <w:sz w:val="22"/>
          <w:szCs w:val="22"/>
        </w:rPr>
        <w:t>Artículo 3°.</w:t>
      </w:r>
      <w:r w:rsidRPr="0011545E">
        <w:rPr>
          <w:rFonts w:ascii="Arial" w:hAnsi="Arial" w:cs="Arial"/>
          <w:color w:val="000000"/>
          <w:sz w:val="22"/>
          <w:szCs w:val="22"/>
        </w:rPr>
        <w:t>- El Poder Ejecutivo dispondrá las partidas presupuestarias correspondientes, con el fin de dar cumplimiento a lo establecido en el Art. 2°.</w:t>
      </w:r>
    </w:p>
    <w:p w:rsidR="0011545E" w:rsidRDefault="0011545E" w:rsidP="0011545E">
      <w:pPr>
        <w:pStyle w:val="NormalWeb"/>
        <w:spacing w:before="0" w:beforeAutospacing="0" w:after="0" w:afterAutospacing="0" w:line="360" w:lineRule="auto"/>
        <w:jc w:val="both"/>
        <w:rPr>
          <w:rStyle w:val="Textoennegrita"/>
          <w:rFonts w:ascii="Arial" w:hAnsi="Arial" w:cs="Arial"/>
          <w:b w:val="0"/>
          <w:color w:val="000000"/>
          <w:sz w:val="22"/>
          <w:szCs w:val="22"/>
        </w:rPr>
      </w:pPr>
    </w:p>
    <w:p w:rsidR="00FF7AEB" w:rsidRPr="0011545E" w:rsidRDefault="00FF7AEB" w:rsidP="0011545E">
      <w:pPr>
        <w:pStyle w:val="NormalWeb"/>
        <w:spacing w:before="0" w:beforeAutospacing="0" w:after="0" w:afterAutospacing="0" w:line="360" w:lineRule="auto"/>
        <w:jc w:val="both"/>
        <w:rPr>
          <w:rFonts w:ascii="Arial" w:hAnsi="Arial" w:cs="Arial"/>
          <w:color w:val="000000"/>
          <w:sz w:val="22"/>
          <w:szCs w:val="22"/>
        </w:rPr>
      </w:pPr>
      <w:r w:rsidRPr="0011545E">
        <w:rPr>
          <w:rStyle w:val="Textoennegrita"/>
          <w:rFonts w:ascii="Arial" w:hAnsi="Arial" w:cs="Arial"/>
          <w:b w:val="0"/>
          <w:color w:val="000000"/>
          <w:sz w:val="22"/>
          <w:szCs w:val="22"/>
        </w:rPr>
        <w:t>Artículo 4°.</w:t>
      </w:r>
      <w:r w:rsidRPr="0011545E">
        <w:rPr>
          <w:rFonts w:ascii="Arial" w:hAnsi="Arial" w:cs="Arial"/>
          <w:color w:val="000000"/>
          <w:sz w:val="22"/>
          <w:szCs w:val="22"/>
        </w:rPr>
        <w:t>- Establécese que el ingreso y egreso de camiones a los predios frentistas a la Avenida Amancio Alcorta, se efectuará únicamente por esta avenida.</w:t>
      </w:r>
    </w:p>
    <w:p w:rsidR="0011545E" w:rsidRDefault="0011545E" w:rsidP="0011545E">
      <w:pPr>
        <w:pStyle w:val="NormalWeb"/>
        <w:spacing w:before="0" w:beforeAutospacing="0" w:after="0" w:afterAutospacing="0" w:line="360" w:lineRule="auto"/>
        <w:jc w:val="both"/>
        <w:rPr>
          <w:rStyle w:val="Textoennegrita"/>
          <w:rFonts w:ascii="Arial" w:hAnsi="Arial" w:cs="Arial"/>
          <w:b w:val="0"/>
          <w:color w:val="000000"/>
          <w:sz w:val="22"/>
          <w:szCs w:val="22"/>
        </w:rPr>
      </w:pPr>
    </w:p>
    <w:p w:rsidR="00FF7AEB" w:rsidRPr="0011545E" w:rsidRDefault="00FF7AEB" w:rsidP="0011545E">
      <w:pPr>
        <w:pStyle w:val="NormalWeb"/>
        <w:spacing w:before="0" w:beforeAutospacing="0" w:after="0" w:afterAutospacing="0" w:line="360" w:lineRule="auto"/>
        <w:jc w:val="both"/>
        <w:rPr>
          <w:rFonts w:ascii="Arial" w:hAnsi="Arial" w:cs="Arial"/>
          <w:color w:val="000000"/>
          <w:sz w:val="22"/>
          <w:szCs w:val="22"/>
        </w:rPr>
      </w:pPr>
      <w:r w:rsidRPr="0011545E">
        <w:rPr>
          <w:rStyle w:val="Textoennegrita"/>
          <w:rFonts w:ascii="Arial" w:hAnsi="Arial" w:cs="Arial"/>
          <w:b w:val="0"/>
          <w:color w:val="000000"/>
          <w:sz w:val="22"/>
          <w:szCs w:val="22"/>
        </w:rPr>
        <w:t>Artículo 5°.</w:t>
      </w:r>
      <w:r w:rsidRPr="0011545E">
        <w:rPr>
          <w:rFonts w:ascii="Arial" w:hAnsi="Arial" w:cs="Arial"/>
          <w:color w:val="000000"/>
          <w:sz w:val="22"/>
          <w:szCs w:val="22"/>
        </w:rPr>
        <w:t xml:space="preserve">- Establécese la prohibición de circulación de camiones por la calle Osvaldo Cruz, entre las calles </w:t>
      </w:r>
      <w:proofErr w:type="spellStart"/>
      <w:r w:rsidRPr="0011545E">
        <w:rPr>
          <w:rFonts w:ascii="Arial" w:hAnsi="Arial" w:cs="Arial"/>
          <w:color w:val="000000"/>
          <w:sz w:val="22"/>
          <w:szCs w:val="22"/>
        </w:rPr>
        <w:t>Pepirí</w:t>
      </w:r>
      <w:proofErr w:type="spellEnd"/>
      <w:r w:rsidRPr="0011545E">
        <w:rPr>
          <w:rFonts w:ascii="Arial" w:hAnsi="Arial" w:cs="Arial"/>
          <w:color w:val="000000"/>
          <w:sz w:val="22"/>
          <w:szCs w:val="22"/>
        </w:rPr>
        <w:t xml:space="preserve"> </w:t>
      </w:r>
      <w:proofErr w:type="spellStart"/>
      <w:r w:rsidRPr="0011545E">
        <w:rPr>
          <w:rFonts w:ascii="Arial" w:hAnsi="Arial" w:cs="Arial"/>
          <w:color w:val="000000"/>
          <w:sz w:val="22"/>
          <w:szCs w:val="22"/>
        </w:rPr>
        <w:t>e</w:t>
      </w:r>
      <w:proofErr w:type="spellEnd"/>
      <w:r w:rsidRPr="0011545E">
        <w:rPr>
          <w:rFonts w:ascii="Arial" w:hAnsi="Arial" w:cs="Arial"/>
          <w:color w:val="000000"/>
          <w:sz w:val="22"/>
          <w:szCs w:val="22"/>
        </w:rPr>
        <w:t xml:space="preserve"> Iguazú, durante las veinticuatro (24) horas.</w:t>
      </w:r>
    </w:p>
    <w:p w:rsidR="0011545E" w:rsidRDefault="0011545E" w:rsidP="0011545E">
      <w:pPr>
        <w:pStyle w:val="NormalWeb"/>
        <w:spacing w:before="0" w:beforeAutospacing="0" w:after="0" w:afterAutospacing="0" w:line="360" w:lineRule="auto"/>
        <w:jc w:val="both"/>
        <w:rPr>
          <w:rStyle w:val="Textoennegrita"/>
          <w:rFonts w:ascii="Arial" w:hAnsi="Arial" w:cs="Arial"/>
          <w:b w:val="0"/>
          <w:color w:val="000000"/>
          <w:sz w:val="22"/>
          <w:szCs w:val="22"/>
        </w:rPr>
      </w:pPr>
    </w:p>
    <w:p w:rsidR="00532587" w:rsidRDefault="00FF7AEB" w:rsidP="0011545E">
      <w:pPr>
        <w:pStyle w:val="NormalWeb"/>
        <w:spacing w:before="0" w:beforeAutospacing="0" w:after="0" w:afterAutospacing="0" w:line="360" w:lineRule="auto"/>
        <w:jc w:val="both"/>
        <w:rPr>
          <w:rFonts w:ascii="Arial" w:hAnsi="Arial" w:cs="Arial"/>
          <w:sz w:val="22"/>
          <w:szCs w:val="22"/>
        </w:rPr>
      </w:pPr>
      <w:r w:rsidRPr="0011545E">
        <w:rPr>
          <w:rStyle w:val="Textoennegrita"/>
          <w:rFonts w:ascii="Arial" w:hAnsi="Arial" w:cs="Arial"/>
          <w:b w:val="0"/>
          <w:color w:val="000000"/>
          <w:sz w:val="22"/>
          <w:szCs w:val="22"/>
        </w:rPr>
        <w:t>Artículo 6°.</w:t>
      </w:r>
      <w:r w:rsidRPr="0011545E">
        <w:rPr>
          <w:rFonts w:ascii="Arial" w:hAnsi="Arial" w:cs="Arial"/>
          <w:color w:val="000000"/>
          <w:sz w:val="22"/>
          <w:szCs w:val="22"/>
        </w:rPr>
        <w:t>- Encomiéndase al Poder Ejecutivo que a través del Consejo del Plan Urbano Ambiental (</w:t>
      </w:r>
      <w:proofErr w:type="spellStart"/>
      <w:r w:rsidRPr="0011545E">
        <w:rPr>
          <w:rFonts w:ascii="Arial" w:hAnsi="Arial" w:cs="Arial"/>
          <w:color w:val="000000"/>
          <w:sz w:val="22"/>
          <w:szCs w:val="22"/>
        </w:rPr>
        <w:t>CoPUA</w:t>
      </w:r>
      <w:proofErr w:type="spellEnd"/>
      <w:r w:rsidRPr="0011545E">
        <w:rPr>
          <w:rFonts w:ascii="Arial" w:hAnsi="Arial" w:cs="Arial"/>
          <w:color w:val="000000"/>
          <w:sz w:val="22"/>
          <w:szCs w:val="22"/>
        </w:rPr>
        <w:t>), en su carácter de Autoridad de Aplicación del Código de Planeamiento Urbano (CPU), evalúe las Actuaciones de consultas, la conveniencia de la localización de nuevos emplazamientos de aquellos rubros que en el Cuadro de Usos N° 5.2.1 a)</w:t>
      </w:r>
      <w:r w:rsidR="00C44485" w:rsidRPr="0011545E">
        <w:rPr>
          <w:rFonts w:ascii="Arial" w:hAnsi="Arial" w:cs="Arial"/>
          <w:color w:val="000000"/>
          <w:sz w:val="22"/>
          <w:szCs w:val="22"/>
        </w:rPr>
        <w:t xml:space="preserve"> #</w:t>
      </w:r>
      <w:r w:rsidRPr="0011545E">
        <w:rPr>
          <w:rFonts w:ascii="Arial" w:hAnsi="Arial" w:cs="Arial"/>
          <w:color w:val="000000"/>
          <w:sz w:val="22"/>
          <w:szCs w:val="22"/>
        </w:rPr>
        <w:t xml:space="preserve"> se encuentran afectados por la referencia “C“, consulta, en el marco de la presente Ley, con excepción de comercio minorista hasta 200 m</w:t>
      </w:r>
      <w:r w:rsidRPr="0011545E">
        <w:rPr>
          <w:rFonts w:ascii="Arial" w:hAnsi="Arial" w:cs="Arial"/>
          <w:color w:val="000000"/>
          <w:sz w:val="22"/>
          <w:szCs w:val="22"/>
          <w:vertAlign w:val="superscript"/>
        </w:rPr>
        <w:t>2</w:t>
      </w:r>
      <w:r w:rsidRPr="0011545E">
        <w:rPr>
          <w:rFonts w:ascii="Arial" w:hAnsi="Arial" w:cs="Arial"/>
          <w:color w:val="000000"/>
          <w:sz w:val="22"/>
          <w:szCs w:val="22"/>
        </w:rPr>
        <w:t>.</w:t>
      </w:r>
      <w:r w:rsidR="00532587" w:rsidRPr="0011545E">
        <w:rPr>
          <w:rFonts w:ascii="Arial" w:hAnsi="Arial" w:cs="Arial"/>
          <w:sz w:val="22"/>
          <w:szCs w:val="22"/>
        </w:rPr>
        <w:t> </w:t>
      </w:r>
    </w:p>
    <w:p w:rsidR="0011545E" w:rsidRPr="0011545E" w:rsidRDefault="0011545E" w:rsidP="0011545E">
      <w:pPr>
        <w:pStyle w:val="NormalWeb"/>
        <w:spacing w:before="0" w:beforeAutospacing="0" w:after="0" w:afterAutospacing="0"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11545E" w:rsidTr="0011545E">
        <w:trPr>
          <w:jc w:val="center"/>
        </w:trPr>
        <w:tc>
          <w:tcPr>
            <w:tcW w:w="9000" w:type="dxa"/>
            <w:gridSpan w:val="2"/>
            <w:vAlign w:val="center"/>
          </w:tcPr>
          <w:p w:rsidR="0009329B" w:rsidRPr="0011545E" w:rsidRDefault="00C44485" w:rsidP="0011545E">
            <w:pPr>
              <w:pStyle w:val="Textosinformato"/>
              <w:spacing w:before="240" w:line="360" w:lineRule="auto"/>
              <w:jc w:val="center"/>
              <w:rPr>
                <w:rFonts w:ascii="Arial" w:hAnsi="Arial" w:cs="Arial"/>
                <w:sz w:val="22"/>
                <w:u w:val="single"/>
              </w:rPr>
            </w:pPr>
            <w:r w:rsidRPr="0011545E">
              <w:rPr>
                <w:rFonts w:ascii="Arial" w:hAnsi="Arial" w:cs="Arial"/>
                <w:b/>
                <w:sz w:val="22"/>
                <w:szCs w:val="22"/>
              </w:rPr>
              <w:t>LEY L</w:t>
            </w:r>
            <w:r w:rsidR="0009329B" w:rsidRPr="0011545E">
              <w:rPr>
                <w:rFonts w:ascii="Arial" w:hAnsi="Arial" w:cs="Arial"/>
                <w:b/>
                <w:sz w:val="22"/>
                <w:szCs w:val="22"/>
              </w:rPr>
              <w:t xml:space="preserve">- N° </w:t>
            </w:r>
            <w:r w:rsidRPr="0011545E">
              <w:rPr>
                <w:rFonts w:ascii="Arial" w:hAnsi="Arial" w:cs="Arial"/>
                <w:b/>
                <w:sz w:val="22"/>
                <w:szCs w:val="22"/>
              </w:rPr>
              <w:t>3</w:t>
            </w:r>
            <w:r w:rsidR="0043075F">
              <w:rPr>
                <w:rFonts w:ascii="Arial" w:hAnsi="Arial" w:cs="Arial"/>
                <w:b/>
                <w:sz w:val="22"/>
                <w:szCs w:val="22"/>
              </w:rPr>
              <w:t>.</w:t>
            </w:r>
            <w:r w:rsidRPr="0011545E">
              <w:rPr>
                <w:rFonts w:ascii="Arial" w:hAnsi="Arial" w:cs="Arial"/>
                <w:b/>
                <w:sz w:val="22"/>
                <w:szCs w:val="22"/>
              </w:rPr>
              <w:t>059</w:t>
            </w:r>
          </w:p>
          <w:p w:rsidR="0009329B" w:rsidRPr="0043075F" w:rsidRDefault="0009329B" w:rsidP="0043075F">
            <w:pPr>
              <w:pStyle w:val="Textosinformato"/>
              <w:spacing w:line="360" w:lineRule="auto"/>
              <w:jc w:val="center"/>
              <w:rPr>
                <w:rFonts w:ascii="Arial" w:hAnsi="Arial" w:cs="Arial"/>
                <w:b/>
                <w:sz w:val="22"/>
              </w:rPr>
            </w:pPr>
            <w:r w:rsidRPr="0011545E">
              <w:rPr>
                <w:rFonts w:ascii="Arial" w:hAnsi="Arial" w:cs="Arial"/>
                <w:b/>
                <w:sz w:val="22"/>
                <w:szCs w:val="22"/>
              </w:rPr>
              <w:t>TABLA DE ANTECEDENTES</w:t>
            </w:r>
          </w:p>
        </w:tc>
      </w:tr>
      <w:tr w:rsidR="0009329B" w:rsidRPr="0011545E" w:rsidTr="0043075F">
        <w:trPr>
          <w:trHeight w:val="439"/>
          <w:jc w:val="center"/>
        </w:trPr>
        <w:tc>
          <w:tcPr>
            <w:tcW w:w="3780" w:type="dxa"/>
            <w:vAlign w:val="center"/>
          </w:tcPr>
          <w:p w:rsidR="0009329B" w:rsidRPr="0011545E" w:rsidRDefault="0009329B" w:rsidP="0043075F">
            <w:pPr>
              <w:pStyle w:val="Textosinformato"/>
              <w:spacing w:line="360" w:lineRule="auto"/>
              <w:jc w:val="center"/>
              <w:rPr>
                <w:rFonts w:ascii="Arial" w:hAnsi="Arial" w:cs="Arial"/>
                <w:b/>
                <w:sz w:val="22"/>
              </w:rPr>
            </w:pPr>
            <w:r w:rsidRPr="0011545E">
              <w:rPr>
                <w:rFonts w:ascii="Arial" w:hAnsi="Arial" w:cs="Arial"/>
                <w:b/>
                <w:sz w:val="22"/>
                <w:szCs w:val="22"/>
              </w:rPr>
              <w:t>Artículo del Texto</w:t>
            </w:r>
            <w:r w:rsidR="0043075F">
              <w:rPr>
                <w:rFonts w:ascii="Arial" w:hAnsi="Arial" w:cs="Arial"/>
                <w:b/>
                <w:sz w:val="22"/>
              </w:rPr>
              <w:t xml:space="preserve"> </w:t>
            </w:r>
            <w:r w:rsidRPr="0011545E">
              <w:rPr>
                <w:rFonts w:ascii="Arial" w:hAnsi="Arial" w:cs="Arial"/>
                <w:b/>
                <w:sz w:val="22"/>
                <w:szCs w:val="22"/>
              </w:rPr>
              <w:t>Definitivo</w:t>
            </w:r>
          </w:p>
        </w:tc>
        <w:tc>
          <w:tcPr>
            <w:tcW w:w="5220" w:type="dxa"/>
            <w:vAlign w:val="center"/>
          </w:tcPr>
          <w:p w:rsidR="0009329B" w:rsidRPr="0011545E" w:rsidRDefault="0009329B" w:rsidP="0011545E">
            <w:pPr>
              <w:pStyle w:val="Textosinformato"/>
              <w:spacing w:line="360" w:lineRule="auto"/>
              <w:jc w:val="center"/>
              <w:rPr>
                <w:rFonts w:ascii="Arial" w:hAnsi="Arial" w:cs="Arial"/>
                <w:b/>
                <w:sz w:val="22"/>
              </w:rPr>
            </w:pPr>
            <w:r w:rsidRPr="0011545E">
              <w:rPr>
                <w:rFonts w:ascii="Arial" w:hAnsi="Arial" w:cs="Arial"/>
                <w:b/>
                <w:sz w:val="22"/>
                <w:szCs w:val="22"/>
              </w:rPr>
              <w:t>Fuente</w:t>
            </w:r>
          </w:p>
        </w:tc>
      </w:tr>
      <w:tr w:rsidR="0009329B" w:rsidRPr="0011545E" w:rsidTr="0011545E">
        <w:trPr>
          <w:trHeight w:val="555"/>
          <w:jc w:val="center"/>
        </w:trPr>
        <w:tc>
          <w:tcPr>
            <w:tcW w:w="9000" w:type="dxa"/>
            <w:gridSpan w:val="2"/>
            <w:vAlign w:val="center"/>
          </w:tcPr>
          <w:p w:rsidR="0009329B" w:rsidRPr="0043075F" w:rsidRDefault="00ED4EDD" w:rsidP="0043075F">
            <w:pPr>
              <w:spacing w:line="360" w:lineRule="auto"/>
              <w:jc w:val="center"/>
              <w:rPr>
                <w:rFonts w:ascii="Arial" w:hAnsi="Arial" w:cs="Arial"/>
              </w:rPr>
            </w:pPr>
            <w:r w:rsidRPr="0011545E">
              <w:rPr>
                <w:rFonts w:ascii="Arial" w:hAnsi="Arial" w:cs="Arial"/>
                <w:sz w:val="22"/>
                <w:szCs w:val="22"/>
              </w:rPr>
              <w:t>Todos los artículos de este Texto Definitivo provienen del texto original de la Ley N° 3</w:t>
            </w:r>
            <w:r w:rsidR="0043075F">
              <w:rPr>
                <w:rFonts w:ascii="Arial" w:hAnsi="Arial" w:cs="Arial"/>
                <w:sz w:val="22"/>
                <w:szCs w:val="22"/>
              </w:rPr>
              <w:t>.</w:t>
            </w:r>
            <w:r w:rsidRPr="0011545E">
              <w:rPr>
                <w:rFonts w:ascii="Arial" w:hAnsi="Arial" w:cs="Arial"/>
                <w:sz w:val="22"/>
                <w:szCs w:val="22"/>
              </w:rPr>
              <w:t>059</w:t>
            </w:r>
          </w:p>
        </w:tc>
      </w:tr>
    </w:tbl>
    <w:p w:rsidR="0009329B" w:rsidRPr="0011545E" w:rsidRDefault="0009329B" w:rsidP="0011545E">
      <w:pPr>
        <w:spacing w:line="360" w:lineRule="auto"/>
        <w:rPr>
          <w:rFonts w:ascii="Arial" w:hAnsi="Arial" w:cs="Arial"/>
          <w:sz w:val="22"/>
          <w:szCs w:val="22"/>
          <w:lang w:val="es-AR"/>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11545E" w:rsidTr="0011545E">
        <w:trPr>
          <w:jc w:val="center"/>
        </w:trPr>
        <w:tc>
          <w:tcPr>
            <w:tcW w:w="9180" w:type="dxa"/>
            <w:gridSpan w:val="3"/>
            <w:vAlign w:val="center"/>
          </w:tcPr>
          <w:p w:rsidR="0009329B" w:rsidRPr="0011545E" w:rsidRDefault="0009329B" w:rsidP="0011545E">
            <w:pPr>
              <w:pStyle w:val="Textosinformato"/>
              <w:spacing w:before="240" w:line="360" w:lineRule="auto"/>
              <w:jc w:val="center"/>
              <w:rPr>
                <w:rFonts w:ascii="Arial" w:hAnsi="Arial" w:cs="Arial"/>
                <w:b/>
                <w:sz w:val="22"/>
              </w:rPr>
            </w:pPr>
            <w:r w:rsidRPr="0011545E">
              <w:rPr>
                <w:rFonts w:ascii="Arial" w:hAnsi="Arial" w:cs="Arial"/>
                <w:b/>
                <w:sz w:val="22"/>
                <w:szCs w:val="22"/>
              </w:rPr>
              <w:lastRenderedPageBreak/>
              <w:t xml:space="preserve">LEY </w:t>
            </w:r>
            <w:r w:rsidR="00C44485" w:rsidRPr="0011545E">
              <w:rPr>
                <w:rFonts w:ascii="Arial" w:hAnsi="Arial" w:cs="Arial"/>
                <w:b/>
                <w:sz w:val="22"/>
                <w:szCs w:val="22"/>
              </w:rPr>
              <w:t>L</w:t>
            </w:r>
            <w:r w:rsidRPr="0011545E">
              <w:rPr>
                <w:rFonts w:ascii="Arial" w:hAnsi="Arial" w:cs="Arial"/>
                <w:b/>
                <w:sz w:val="22"/>
                <w:szCs w:val="22"/>
              </w:rPr>
              <w:t xml:space="preserve">- N° </w:t>
            </w:r>
            <w:r w:rsidR="00C44485" w:rsidRPr="0011545E">
              <w:rPr>
                <w:rFonts w:ascii="Arial" w:hAnsi="Arial" w:cs="Arial"/>
                <w:b/>
                <w:sz w:val="22"/>
                <w:szCs w:val="22"/>
              </w:rPr>
              <w:t>3</w:t>
            </w:r>
            <w:r w:rsidR="0043075F">
              <w:rPr>
                <w:rFonts w:ascii="Arial" w:hAnsi="Arial" w:cs="Arial"/>
                <w:b/>
                <w:sz w:val="22"/>
                <w:szCs w:val="22"/>
              </w:rPr>
              <w:t>.</w:t>
            </w:r>
            <w:r w:rsidR="00C44485" w:rsidRPr="0011545E">
              <w:rPr>
                <w:rFonts w:ascii="Arial" w:hAnsi="Arial" w:cs="Arial"/>
                <w:b/>
                <w:sz w:val="22"/>
                <w:szCs w:val="22"/>
              </w:rPr>
              <w:t>059</w:t>
            </w:r>
          </w:p>
          <w:p w:rsidR="0009329B" w:rsidRPr="0043075F" w:rsidRDefault="0009329B" w:rsidP="0043075F">
            <w:pPr>
              <w:pStyle w:val="Textosinformato"/>
              <w:spacing w:line="360" w:lineRule="auto"/>
              <w:jc w:val="center"/>
              <w:rPr>
                <w:rFonts w:ascii="Arial" w:hAnsi="Arial" w:cs="Arial"/>
                <w:b/>
                <w:sz w:val="22"/>
              </w:rPr>
            </w:pPr>
            <w:r w:rsidRPr="0011545E">
              <w:rPr>
                <w:rFonts w:ascii="Arial" w:hAnsi="Arial" w:cs="Arial"/>
                <w:b/>
                <w:sz w:val="22"/>
                <w:szCs w:val="22"/>
              </w:rPr>
              <w:t>TABLA DE EQUIVALENCIAS</w:t>
            </w:r>
          </w:p>
        </w:tc>
      </w:tr>
      <w:tr w:rsidR="0009329B" w:rsidRPr="0011545E" w:rsidTr="0011545E">
        <w:trPr>
          <w:jc w:val="center"/>
        </w:trPr>
        <w:tc>
          <w:tcPr>
            <w:tcW w:w="3090" w:type="dxa"/>
            <w:vAlign w:val="center"/>
          </w:tcPr>
          <w:p w:rsidR="0009329B" w:rsidRPr="0011545E" w:rsidRDefault="0009329B" w:rsidP="0011545E">
            <w:pPr>
              <w:spacing w:line="360" w:lineRule="auto"/>
              <w:jc w:val="center"/>
              <w:rPr>
                <w:rFonts w:ascii="Arial" w:hAnsi="Arial" w:cs="Arial"/>
                <w:b/>
              </w:rPr>
            </w:pPr>
            <w:r w:rsidRPr="0011545E">
              <w:rPr>
                <w:rFonts w:ascii="Arial" w:hAnsi="Arial" w:cs="Arial"/>
                <w:b/>
                <w:sz w:val="22"/>
                <w:szCs w:val="22"/>
              </w:rPr>
              <w:t>Número de artículo</w:t>
            </w:r>
          </w:p>
          <w:p w:rsidR="0009329B" w:rsidRPr="0011545E" w:rsidRDefault="0009329B" w:rsidP="0011545E">
            <w:pPr>
              <w:spacing w:line="360" w:lineRule="auto"/>
              <w:jc w:val="center"/>
              <w:rPr>
                <w:rFonts w:ascii="Arial" w:hAnsi="Arial" w:cs="Arial"/>
                <w:b/>
              </w:rPr>
            </w:pPr>
            <w:r w:rsidRPr="0011545E">
              <w:rPr>
                <w:rFonts w:ascii="Arial" w:hAnsi="Arial" w:cs="Arial"/>
                <w:b/>
                <w:sz w:val="22"/>
                <w:szCs w:val="22"/>
              </w:rPr>
              <w:t>del Texto Definitivo</w:t>
            </w:r>
          </w:p>
        </w:tc>
        <w:tc>
          <w:tcPr>
            <w:tcW w:w="2850" w:type="dxa"/>
            <w:vAlign w:val="center"/>
          </w:tcPr>
          <w:p w:rsidR="0009329B" w:rsidRPr="0011545E" w:rsidRDefault="0009329B" w:rsidP="0011545E">
            <w:pPr>
              <w:spacing w:line="360" w:lineRule="auto"/>
              <w:jc w:val="center"/>
              <w:rPr>
                <w:rFonts w:ascii="Arial" w:hAnsi="Arial" w:cs="Arial"/>
                <w:b/>
              </w:rPr>
            </w:pPr>
            <w:r w:rsidRPr="0011545E">
              <w:rPr>
                <w:rFonts w:ascii="Arial" w:hAnsi="Arial" w:cs="Arial"/>
                <w:b/>
                <w:sz w:val="22"/>
                <w:szCs w:val="22"/>
              </w:rPr>
              <w:t>Número de artículo</w:t>
            </w:r>
          </w:p>
          <w:p w:rsidR="0009329B" w:rsidRPr="0011545E" w:rsidRDefault="0009329B" w:rsidP="0011545E">
            <w:pPr>
              <w:spacing w:line="360" w:lineRule="auto"/>
              <w:jc w:val="center"/>
              <w:rPr>
                <w:rFonts w:ascii="Arial" w:hAnsi="Arial" w:cs="Arial"/>
                <w:b/>
              </w:rPr>
            </w:pPr>
            <w:r w:rsidRPr="0011545E">
              <w:rPr>
                <w:rFonts w:ascii="Arial" w:hAnsi="Arial" w:cs="Arial"/>
                <w:b/>
                <w:sz w:val="22"/>
                <w:szCs w:val="22"/>
              </w:rPr>
              <w:t xml:space="preserve">del Texto de </w:t>
            </w:r>
            <w:r w:rsidR="00C44485" w:rsidRPr="0011545E">
              <w:rPr>
                <w:rFonts w:ascii="Arial" w:hAnsi="Arial" w:cs="Arial"/>
                <w:b/>
                <w:sz w:val="22"/>
                <w:szCs w:val="22"/>
              </w:rPr>
              <w:t>Referencia (Ley 3</w:t>
            </w:r>
            <w:r w:rsidR="0043075F">
              <w:rPr>
                <w:rFonts w:ascii="Arial" w:hAnsi="Arial" w:cs="Arial"/>
                <w:b/>
                <w:sz w:val="22"/>
                <w:szCs w:val="22"/>
              </w:rPr>
              <w:t>.</w:t>
            </w:r>
            <w:r w:rsidR="00C44485" w:rsidRPr="0011545E">
              <w:rPr>
                <w:rFonts w:ascii="Arial" w:hAnsi="Arial" w:cs="Arial"/>
                <w:b/>
                <w:sz w:val="22"/>
                <w:szCs w:val="22"/>
              </w:rPr>
              <w:t>059</w:t>
            </w:r>
            <w:r w:rsidRPr="0011545E">
              <w:rPr>
                <w:rFonts w:ascii="Arial" w:hAnsi="Arial" w:cs="Arial"/>
                <w:b/>
                <w:sz w:val="22"/>
                <w:szCs w:val="22"/>
              </w:rPr>
              <w:t>)</w:t>
            </w:r>
          </w:p>
        </w:tc>
        <w:tc>
          <w:tcPr>
            <w:tcW w:w="3240" w:type="dxa"/>
            <w:vAlign w:val="center"/>
          </w:tcPr>
          <w:p w:rsidR="0009329B" w:rsidRPr="0011545E" w:rsidRDefault="0009329B" w:rsidP="0011545E">
            <w:pPr>
              <w:spacing w:line="360" w:lineRule="auto"/>
              <w:jc w:val="center"/>
              <w:rPr>
                <w:rFonts w:ascii="Arial" w:hAnsi="Arial" w:cs="Arial"/>
                <w:b/>
              </w:rPr>
            </w:pPr>
            <w:r w:rsidRPr="0011545E">
              <w:rPr>
                <w:rFonts w:ascii="Arial" w:hAnsi="Arial" w:cs="Arial"/>
                <w:b/>
                <w:sz w:val="22"/>
                <w:szCs w:val="22"/>
              </w:rPr>
              <w:t>Observaciones</w:t>
            </w:r>
          </w:p>
        </w:tc>
      </w:tr>
      <w:tr w:rsidR="0009329B" w:rsidRPr="0011545E" w:rsidTr="0011545E">
        <w:trPr>
          <w:jc w:val="center"/>
        </w:trPr>
        <w:tc>
          <w:tcPr>
            <w:tcW w:w="9180" w:type="dxa"/>
            <w:gridSpan w:val="3"/>
            <w:vAlign w:val="center"/>
          </w:tcPr>
          <w:p w:rsidR="0009329B" w:rsidRPr="0011545E" w:rsidRDefault="00ED4EDD" w:rsidP="0011545E">
            <w:pPr>
              <w:spacing w:line="360" w:lineRule="auto"/>
              <w:jc w:val="center"/>
              <w:rPr>
                <w:rFonts w:ascii="Arial" w:hAnsi="Arial" w:cs="Arial"/>
              </w:rPr>
            </w:pPr>
            <w:r w:rsidRPr="0011545E">
              <w:rPr>
                <w:rFonts w:ascii="Arial" w:hAnsi="Arial" w:cs="Arial"/>
                <w:sz w:val="22"/>
                <w:szCs w:val="22"/>
              </w:rPr>
              <w:t>La numeración de los artículos del Texto Definitivo corresponde a la numeración original de la Ley N°</w:t>
            </w:r>
            <w:r w:rsidR="0043075F">
              <w:rPr>
                <w:rFonts w:ascii="Arial" w:hAnsi="Arial" w:cs="Arial"/>
                <w:sz w:val="22"/>
                <w:szCs w:val="22"/>
              </w:rPr>
              <w:t xml:space="preserve"> </w:t>
            </w:r>
            <w:r w:rsidRPr="0011545E">
              <w:rPr>
                <w:rFonts w:ascii="Arial" w:hAnsi="Arial" w:cs="Arial"/>
                <w:sz w:val="22"/>
                <w:szCs w:val="22"/>
              </w:rPr>
              <w:t>3</w:t>
            </w:r>
            <w:r w:rsidR="0043075F">
              <w:rPr>
                <w:rFonts w:ascii="Arial" w:hAnsi="Arial" w:cs="Arial"/>
                <w:sz w:val="22"/>
                <w:szCs w:val="22"/>
              </w:rPr>
              <w:t>.</w:t>
            </w:r>
            <w:r w:rsidRPr="0011545E">
              <w:rPr>
                <w:rFonts w:ascii="Arial" w:hAnsi="Arial" w:cs="Arial"/>
                <w:sz w:val="22"/>
                <w:szCs w:val="22"/>
              </w:rPr>
              <w:t>059</w:t>
            </w:r>
          </w:p>
        </w:tc>
      </w:tr>
    </w:tbl>
    <w:p w:rsidR="0009329B" w:rsidRPr="0011545E" w:rsidRDefault="0009329B" w:rsidP="0011545E">
      <w:pPr>
        <w:spacing w:line="360" w:lineRule="auto"/>
        <w:rPr>
          <w:rFonts w:ascii="Arial" w:hAnsi="Arial" w:cs="Arial"/>
          <w:sz w:val="22"/>
          <w:szCs w:val="22"/>
        </w:rPr>
      </w:pPr>
    </w:p>
    <w:p w:rsidR="00F914CB" w:rsidRPr="0011545E" w:rsidRDefault="00F914CB" w:rsidP="0011545E">
      <w:pPr>
        <w:spacing w:line="360" w:lineRule="auto"/>
        <w:rPr>
          <w:rFonts w:ascii="Arial" w:hAnsi="Arial" w:cs="Arial"/>
          <w:b/>
          <w:sz w:val="22"/>
          <w:szCs w:val="22"/>
          <w:u w:val="single"/>
        </w:rPr>
      </w:pPr>
      <w:r w:rsidRPr="0011545E">
        <w:rPr>
          <w:rFonts w:ascii="Arial" w:hAnsi="Arial" w:cs="Arial"/>
          <w:b/>
          <w:sz w:val="22"/>
          <w:szCs w:val="22"/>
          <w:u w:val="single"/>
        </w:rPr>
        <w:t>Observaciones Generales:</w:t>
      </w:r>
    </w:p>
    <w:p w:rsidR="00986F26" w:rsidRPr="0011545E" w:rsidRDefault="00986F26" w:rsidP="0043075F">
      <w:pPr>
        <w:pStyle w:val="Prrafodelista"/>
        <w:numPr>
          <w:ilvl w:val="0"/>
          <w:numId w:val="1"/>
        </w:numPr>
        <w:spacing w:line="360" w:lineRule="auto"/>
        <w:ind w:left="567" w:hanging="567"/>
        <w:rPr>
          <w:rFonts w:ascii="Arial" w:hAnsi="Arial" w:cs="Arial"/>
          <w:sz w:val="22"/>
          <w:szCs w:val="22"/>
        </w:rPr>
      </w:pPr>
      <w:r w:rsidRPr="0011545E">
        <w:rPr>
          <w:rFonts w:ascii="Arial" w:hAnsi="Arial" w:cs="Arial"/>
          <w:sz w:val="22"/>
          <w:szCs w:val="22"/>
        </w:rPr>
        <w:t>#La presente norma contiene remisiones externas #.</w:t>
      </w:r>
    </w:p>
    <w:p w:rsidR="00ED4EDD" w:rsidRPr="0011545E" w:rsidRDefault="00ED4EDD" w:rsidP="0043075F">
      <w:pPr>
        <w:pStyle w:val="Prrafodelista"/>
        <w:numPr>
          <w:ilvl w:val="0"/>
          <w:numId w:val="1"/>
        </w:numPr>
        <w:spacing w:line="360" w:lineRule="auto"/>
        <w:ind w:left="567" w:hanging="567"/>
        <w:jc w:val="both"/>
        <w:rPr>
          <w:rFonts w:ascii="Arial" w:hAnsi="Arial" w:cs="Arial"/>
          <w:sz w:val="22"/>
          <w:szCs w:val="22"/>
        </w:rPr>
      </w:pPr>
      <w:r w:rsidRPr="0011545E">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ED4EDD" w:rsidRPr="0011545E" w:rsidRDefault="00ED4EDD" w:rsidP="0011545E">
      <w:pPr>
        <w:spacing w:line="360" w:lineRule="auto"/>
        <w:rPr>
          <w:rFonts w:ascii="Arial" w:hAnsi="Arial" w:cs="Arial"/>
          <w:sz w:val="22"/>
          <w:szCs w:val="22"/>
        </w:rPr>
      </w:pPr>
    </w:p>
    <w:sectPr w:rsidR="00ED4EDD" w:rsidRPr="0011545E" w:rsidSect="0011545E">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35346"/>
    <w:multiLevelType w:val="hybridMultilevel"/>
    <w:tmpl w:val="D780DA3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C4F743A"/>
    <w:multiLevelType w:val="hybridMultilevel"/>
    <w:tmpl w:val="CB10B8DA"/>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D0D2ED7"/>
    <w:multiLevelType w:val="hybridMultilevel"/>
    <w:tmpl w:val="44E0CD48"/>
    <w:lvl w:ilvl="0" w:tplc="2C0A000F">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40379"/>
    <w:rsid w:val="0009329B"/>
    <w:rsid w:val="000F4C32"/>
    <w:rsid w:val="0011545E"/>
    <w:rsid w:val="001B4948"/>
    <w:rsid w:val="001F06B8"/>
    <w:rsid w:val="0028790C"/>
    <w:rsid w:val="002D2DC8"/>
    <w:rsid w:val="003B67B5"/>
    <w:rsid w:val="00416255"/>
    <w:rsid w:val="0043075F"/>
    <w:rsid w:val="0047314C"/>
    <w:rsid w:val="004A7641"/>
    <w:rsid w:val="004A7BBF"/>
    <w:rsid w:val="00511FDE"/>
    <w:rsid w:val="00532587"/>
    <w:rsid w:val="006506AC"/>
    <w:rsid w:val="006F2995"/>
    <w:rsid w:val="00854BA0"/>
    <w:rsid w:val="008D7462"/>
    <w:rsid w:val="009127C8"/>
    <w:rsid w:val="009520A3"/>
    <w:rsid w:val="00986F26"/>
    <w:rsid w:val="00A628E9"/>
    <w:rsid w:val="00A9127D"/>
    <w:rsid w:val="00AB6371"/>
    <w:rsid w:val="00B04A21"/>
    <w:rsid w:val="00C44485"/>
    <w:rsid w:val="00C67C06"/>
    <w:rsid w:val="00CA2D7F"/>
    <w:rsid w:val="00CF15CE"/>
    <w:rsid w:val="00E3015B"/>
    <w:rsid w:val="00EA60A5"/>
    <w:rsid w:val="00ED4EDD"/>
    <w:rsid w:val="00F76F73"/>
    <w:rsid w:val="00F914CB"/>
    <w:rsid w:val="00F97A2B"/>
    <w:rsid w:val="00FF7AE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styleId="Textoennegrita">
    <w:name w:val="Strong"/>
    <w:basedOn w:val="Fuentedeprrafopredeter"/>
    <w:uiPriority w:val="22"/>
    <w:qFormat/>
    <w:rsid w:val="00FF7AEB"/>
    <w:rPr>
      <w:b/>
      <w:bCs/>
    </w:rPr>
  </w:style>
  <w:style w:type="paragraph" w:styleId="Prrafodelista">
    <w:name w:val="List Paragraph"/>
    <w:basedOn w:val="Normal"/>
    <w:uiPriority w:val="34"/>
    <w:qFormat/>
    <w:rsid w:val="0011545E"/>
    <w:pPr>
      <w:ind w:left="720"/>
      <w:contextualSpacing/>
    </w:pPr>
  </w:style>
</w:styles>
</file>

<file path=word/webSettings.xml><?xml version="1.0" encoding="utf-8"?>
<w:webSettings xmlns:r="http://schemas.openxmlformats.org/officeDocument/2006/relationships" xmlns:w="http://schemas.openxmlformats.org/wordprocessingml/2006/main">
  <w:divs>
    <w:div w:id="508368728">
      <w:bodyDiv w:val="1"/>
      <w:marLeft w:val="0"/>
      <w:marRight w:val="0"/>
      <w:marTop w:val="0"/>
      <w:marBottom w:val="0"/>
      <w:divBdr>
        <w:top w:val="none" w:sz="0" w:space="0" w:color="auto"/>
        <w:left w:val="none" w:sz="0" w:space="0" w:color="auto"/>
        <w:bottom w:val="none" w:sz="0" w:space="0" w:color="auto"/>
        <w:right w:val="none" w:sz="0" w:space="0" w:color="auto"/>
      </w:divBdr>
      <w:divsChild>
        <w:div w:id="8728837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780</Words>
  <Characters>4292</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2014-10-21T16:54:00Z</dcterms:created>
  <dcterms:modified xsi:type="dcterms:W3CDTF">2015-09-24T16:50:00Z</dcterms:modified>
</cp:coreProperties>
</file>