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A77AF5" w:rsidRDefault="00FA778B" w:rsidP="00A77AF5">
      <w:pPr>
        <w:spacing w:line="360" w:lineRule="auto"/>
        <w:rPr>
          <w:rFonts w:ascii="Arial" w:hAnsi="Arial" w:cs="Arial"/>
          <w:b/>
          <w:sz w:val="22"/>
        </w:rPr>
      </w:pPr>
      <w:r w:rsidRPr="00A77AF5">
        <w:rPr>
          <w:rFonts w:ascii="Arial" w:hAnsi="Arial" w:cs="Arial"/>
          <w:b/>
          <w:sz w:val="22"/>
        </w:rPr>
        <w:t>LC-3000</w:t>
      </w:r>
    </w:p>
    <w:p w:rsidR="00FA778B" w:rsidRPr="00A77AF5" w:rsidRDefault="00FA778B" w:rsidP="00A77AF5">
      <w:pPr>
        <w:spacing w:line="360" w:lineRule="auto"/>
        <w:rPr>
          <w:rFonts w:ascii="Arial" w:hAnsi="Arial" w:cs="Arial"/>
          <w:b/>
          <w:sz w:val="22"/>
        </w:rPr>
      </w:pPr>
    </w:p>
    <w:p w:rsidR="0009329B" w:rsidRPr="00A77AF5" w:rsidRDefault="0009329B" w:rsidP="00A85797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</w:rPr>
      </w:pPr>
      <w:r w:rsidRPr="00A77AF5">
        <w:rPr>
          <w:rFonts w:ascii="Arial" w:hAnsi="Arial" w:cs="Arial"/>
          <w:b/>
          <w:sz w:val="22"/>
        </w:rPr>
        <w:t xml:space="preserve">LEY </w:t>
      </w:r>
      <w:r w:rsidR="00FA778B" w:rsidRPr="00A77AF5">
        <w:rPr>
          <w:rFonts w:ascii="Arial" w:hAnsi="Arial" w:cs="Arial"/>
          <w:b/>
          <w:sz w:val="22"/>
        </w:rPr>
        <w:t xml:space="preserve">H </w:t>
      </w:r>
      <w:r w:rsidRPr="00A77AF5">
        <w:rPr>
          <w:rFonts w:ascii="Arial" w:hAnsi="Arial" w:cs="Arial"/>
          <w:b/>
          <w:sz w:val="22"/>
        </w:rPr>
        <w:t xml:space="preserve">- N° </w:t>
      </w:r>
      <w:r w:rsidR="00FA778B" w:rsidRPr="00A77AF5">
        <w:rPr>
          <w:rFonts w:ascii="Arial" w:hAnsi="Arial" w:cs="Arial"/>
          <w:b/>
          <w:sz w:val="22"/>
        </w:rPr>
        <w:t>3</w:t>
      </w:r>
      <w:r w:rsidR="00A85797">
        <w:rPr>
          <w:rFonts w:ascii="Arial" w:hAnsi="Arial" w:cs="Arial"/>
          <w:b/>
          <w:sz w:val="22"/>
        </w:rPr>
        <w:t>.</w:t>
      </w:r>
      <w:r w:rsidR="00FA778B" w:rsidRPr="00A77AF5">
        <w:rPr>
          <w:rFonts w:ascii="Arial" w:hAnsi="Arial" w:cs="Arial"/>
          <w:b/>
          <w:sz w:val="22"/>
        </w:rPr>
        <w:t>000</w:t>
      </w:r>
    </w:p>
    <w:p w:rsidR="00FA778B" w:rsidRPr="00A77AF5" w:rsidRDefault="00FA778B" w:rsidP="00A77AF5">
      <w:pPr>
        <w:spacing w:line="360" w:lineRule="auto"/>
        <w:jc w:val="both"/>
        <w:rPr>
          <w:rFonts w:ascii="Arial" w:hAnsi="Arial" w:cs="Arial"/>
          <w:b/>
          <w:bCs/>
          <w:sz w:val="22"/>
          <w:lang w:val="es-AR"/>
        </w:rPr>
      </w:pPr>
    </w:p>
    <w:p w:rsidR="00FA778B" w:rsidRPr="00A77AF5" w:rsidRDefault="00FA778B" w:rsidP="00A77AF5">
      <w:pPr>
        <w:spacing w:line="360" w:lineRule="auto"/>
        <w:jc w:val="both"/>
        <w:rPr>
          <w:rFonts w:ascii="Arial" w:hAnsi="Arial" w:cs="Arial"/>
          <w:sz w:val="22"/>
          <w:lang w:val="es-AR"/>
        </w:rPr>
      </w:pPr>
      <w:r w:rsidRPr="00A77AF5">
        <w:rPr>
          <w:rFonts w:ascii="Arial" w:hAnsi="Arial" w:cs="Arial"/>
          <w:sz w:val="22"/>
          <w:lang w:val="es-AR"/>
        </w:rPr>
        <w:t>Artículo 1°.- El Poder Ejecutivo organizará una “Campaña Permanente de Difusión y Prevención de la Celiaquía” que se desarrollará en el ámbito de los Centros de Gestión y Participación Ciudadana (CGPC) o los que en el futuro los reemplacen.</w:t>
      </w:r>
    </w:p>
    <w:p w:rsidR="00FA778B" w:rsidRPr="00A77AF5" w:rsidRDefault="00FA778B" w:rsidP="00A77AF5">
      <w:pPr>
        <w:spacing w:line="360" w:lineRule="auto"/>
        <w:jc w:val="both"/>
        <w:rPr>
          <w:rFonts w:ascii="Arial" w:hAnsi="Arial" w:cs="Arial"/>
          <w:sz w:val="22"/>
          <w:lang w:val="es-AR"/>
        </w:rPr>
      </w:pPr>
    </w:p>
    <w:p w:rsidR="00FA778B" w:rsidRPr="00A77AF5" w:rsidRDefault="00FA778B" w:rsidP="00A77AF5">
      <w:pPr>
        <w:spacing w:line="360" w:lineRule="auto"/>
        <w:jc w:val="both"/>
        <w:rPr>
          <w:rFonts w:ascii="Arial" w:hAnsi="Arial" w:cs="Arial"/>
          <w:sz w:val="22"/>
          <w:lang w:val="es-AR"/>
        </w:rPr>
      </w:pPr>
      <w:r w:rsidRPr="00A77AF5">
        <w:rPr>
          <w:rFonts w:ascii="Arial" w:hAnsi="Arial" w:cs="Arial"/>
          <w:sz w:val="22"/>
          <w:lang w:val="es-AR"/>
        </w:rPr>
        <w:t>Artículo 2°.- La reglamentación fijará al menos una (1) jornada anual de “Difusión y</w:t>
      </w:r>
      <w:r w:rsidR="00340015">
        <w:rPr>
          <w:rFonts w:ascii="Arial" w:hAnsi="Arial" w:cs="Arial"/>
          <w:sz w:val="22"/>
          <w:lang w:val="es-AR"/>
        </w:rPr>
        <w:t xml:space="preserve"> </w:t>
      </w:r>
      <w:r w:rsidRPr="00A77AF5">
        <w:rPr>
          <w:rFonts w:ascii="Arial" w:hAnsi="Arial" w:cs="Arial"/>
          <w:sz w:val="22"/>
          <w:lang w:val="es-AR"/>
        </w:rPr>
        <w:t>Prevención de la Celiaquía” en cada Centro de Gestión y Participación Ciudadana</w:t>
      </w:r>
      <w:r w:rsidR="00340015">
        <w:rPr>
          <w:rFonts w:ascii="Arial" w:hAnsi="Arial" w:cs="Arial"/>
          <w:sz w:val="22"/>
          <w:lang w:val="es-AR"/>
        </w:rPr>
        <w:t xml:space="preserve"> </w:t>
      </w:r>
      <w:r w:rsidRPr="00A77AF5">
        <w:rPr>
          <w:rFonts w:ascii="Arial" w:hAnsi="Arial" w:cs="Arial"/>
          <w:sz w:val="22"/>
          <w:lang w:val="es-AR"/>
        </w:rPr>
        <w:t>(CGPC) dictada por un equipo de expertos, preferentemente del Hospital de</w:t>
      </w:r>
      <w:r w:rsidR="00340015">
        <w:rPr>
          <w:rFonts w:ascii="Arial" w:hAnsi="Arial" w:cs="Arial"/>
          <w:sz w:val="22"/>
          <w:lang w:val="es-AR"/>
        </w:rPr>
        <w:t xml:space="preserve"> </w:t>
      </w:r>
      <w:r w:rsidRPr="00A77AF5">
        <w:rPr>
          <w:rFonts w:ascii="Arial" w:hAnsi="Arial" w:cs="Arial"/>
          <w:sz w:val="22"/>
          <w:lang w:val="es-AR"/>
        </w:rPr>
        <w:t>Gastroenterología “</w:t>
      </w:r>
      <w:proofErr w:type="spellStart"/>
      <w:r w:rsidRPr="00A77AF5">
        <w:rPr>
          <w:rFonts w:ascii="Arial" w:hAnsi="Arial" w:cs="Arial"/>
          <w:sz w:val="22"/>
          <w:lang w:val="es-AR"/>
        </w:rPr>
        <w:t>Bonorino</w:t>
      </w:r>
      <w:proofErr w:type="spellEnd"/>
      <w:r w:rsidRPr="00A77AF5">
        <w:rPr>
          <w:rFonts w:ascii="Arial" w:hAnsi="Arial" w:cs="Arial"/>
          <w:sz w:val="22"/>
          <w:lang w:val="es-AR"/>
        </w:rPr>
        <w:t xml:space="preserve"> </w:t>
      </w:r>
      <w:proofErr w:type="spellStart"/>
      <w:r w:rsidRPr="00A77AF5">
        <w:rPr>
          <w:rFonts w:ascii="Arial" w:hAnsi="Arial" w:cs="Arial"/>
          <w:sz w:val="22"/>
          <w:lang w:val="es-AR"/>
        </w:rPr>
        <w:t>Udaondo</w:t>
      </w:r>
      <w:proofErr w:type="spellEnd"/>
      <w:r w:rsidRPr="00A77AF5">
        <w:rPr>
          <w:rFonts w:ascii="Arial" w:hAnsi="Arial" w:cs="Arial"/>
          <w:sz w:val="22"/>
          <w:lang w:val="es-AR"/>
        </w:rPr>
        <w:t>”.</w:t>
      </w:r>
    </w:p>
    <w:p w:rsidR="00FA778B" w:rsidRPr="00A77AF5" w:rsidRDefault="00FA778B" w:rsidP="00A77AF5">
      <w:pPr>
        <w:spacing w:line="360" w:lineRule="auto"/>
        <w:jc w:val="both"/>
        <w:rPr>
          <w:rFonts w:ascii="Arial" w:hAnsi="Arial" w:cs="Arial"/>
          <w:sz w:val="22"/>
          <w:lang w:val="es-AR"/>
        </w:rPr>
      </w:pPr>
    </w:p>
    <w:p w:rsidR="00FA778B" w:rsidRPr="00A77AF5" w:rsidRDefault="00FA778B" w:rsidP="00A77AF5">
      <w:pPr>
        <w:spacing w:line="360" w:lineRule="auto"/>
        <w:jc w:val="both"/>
        <w:rPr>
          <w:rFonts w:ascii="Arial" w:hAnsi="Arial" w:cs="Arial"/>
          <w:sz w:val="22"/>
          <w:lang w:val="es-AR"/>
        </w:rPr>
      </w:pPr>
      <w:r w:rsidRPr="00A77AF5">
        <w:rPr>
          <w:rFonts w:ascii="Arial" w:hAnsi="Arial" w:cs="Arial"/>
          <w:sz w:val="22"/>
          <w:lang w:val="es-AR"/>
        </w:rPr>
        <w:t>Artículo 3°.- El Poder Ejecutivo elaborará y proveerá folletos explicativos sobre la enfermedad celíaca, que tendrán como objeto la difusión permanente de la problemática en los Centros de Gestión y Participación Ciudadana (CGPC).</w:t>
      </w:r>
    </w:p>
    <w:p w:rsidR="0009329B" w:rsidRPr="00A77AF5" w:rsidRDefault="0009329B" w:rsidP="00A77AF5">
      <w:pPr>
        <w:spacing w:line="360" w:lineRule="auto"/>
        <w:jc w:val="both"/>
        <w:rPr>
          <w:rFonts w:ascii="Arial" w:hAnsi="Arial" w:cs="Arial"/>
          <w:sz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47"/>
        <w:gridCol w:w="4553"/>
      </w:tblGrid>
      <w:tr w:rsidR="0009329B" w:rsidRPr="00A77AF5" w:rsidTr="00340015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A77AF5" w:rsidRDefault="0009329B" w:rsidP="0034001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77AF5">
              <w:rPr>
                <w:rFonts w:ascii="Arial" w:hAnsi="Arial" w:cs="Arial"/>
                <w:b/>
                <w:sz w:val="22"/>
              </w:rPr>
              <w:t xml:space="preserve">LEY </w:t>
            </w:r>
            <w:r w:rsidR="00FA778B" w:rsidRPr="00A77AF5">
              <w:rPr>
                <w:rFonts w:ascii="Arial" w:hAnsi="Arial" w:cs="Arial"/>
                <w:b/>
                <w:sz w:val="22"/>
              </w:rPr>
              <w:t xml:space="preserve">H </w:t>
            </w:r>
            <w:r w:rsidRPr="00A77AF5">
              <w:rPr>
                <w:rFonts w:ascii="Arial" w:hAnsi="Arial" w:cs="Arial"/>
                <w:b/>
                <w:sz w:val="22"/>
              </w:rPr>
              <w:t xml:space="preserve">- N° </w:t>
            </w:r>
            <w:r w:rsidR="00FA778B" w:rsidRPr="00A77AF5">
              <w:rPr>
                <w:rFonts w:ascii="Arial" w:hAnsi="Arial" w:cs="Arial"/>
                <w:b/>
                <w:sz w:val="22"/>
              </w:rPr>
              <w:t>3</w:t>
            </w:r>
            <w:r w:rsidR="00A85797">
              <w:rPr>
                <w:rFonts w:ascii="Arial" w:hAnsi="Arial" w:cs="Arial"/>
                <w:b/>
                <w:sz w:val="22"/>
              </w:rPr>
              <w:t>.</w:t>
            </w:r>
            <w:r w:rsidR="00FA778B" w:rsidRPr="00A77AF5">
              <w:rPr>
                <w:rFonts w:ascii="Arial" w:hAnsi="Arial" w:cs="Arial"/>
                <w:b/>
                <w:sz w:val="22"/>
              </w:rPr>
              <w:t>000</w:t>
            </w:r>
          </w:p>
          <w:p w:rsidR="0009329B" w:rsidRPr="00A85797" w:rsidRDefault="0009329B" w:rsidP="00A857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77AF5">
              <w:rPr>
                <w:rFonts w:ascii="Arial" w:hAnsi="Arial" w:cs="Arial"/>
                <w:b/>
                <w:sz w:val="22"/>
              </w:rPr>
              <w:t>TABLA DE ANTECEDENTES</w:t>
            </w:r>
          </w:p>
        </w:tc>
      </w:tr>
      <w:tr w:rsidR="0009329B" w:rsidRPr="00A77AF5" w:rsidTr="00A85797">
        <w:trPr>
          <w:trHeight w:val="553"/>
          <w:jc w:val="center"/>
        </w:trPr>
        <w:tc>
          <w:tcPr>
            <w:tcW w:w="4447" w:type="dxa"/>
            <w:vAlign w:val="center"/>
          </w:tcPr>
          <w:p w:rsidR="0009329B" w:rsidRPr="00A77AF5" w:rsidRDefault="0009329B" w:rsidP="00A857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77AF5">
              <w:rPr>
                <w:rFonts w:ascii="Arial" w:hAnsi="Arial" w:cs="Arial"/>
                <w:b/>
                <w:sz w:val="22"/>
              </w:rPr>
              <w:t>Artículo del Texto</w:t>
            </w:r>
            <w:r w:rsidR="00A85797">
              <w:rPr>
                <w:rFonts w:ascii="Arial" w:hAnsi="Arial" w:cs="Arial"/>
                <w:b/>
                <w:sz w:val="22"/>
              </w:rPr>
              <w:t xml:space="preserve"> </w:t>
            </w:r>
            <w:r w:rsidRPr="00A77AF5">
              <w:rPr>
                <w:rFonts w:ascii="Arial" w:hAnsi="Arial" w:cs="Arial"/>
                <w:b/>
                <w:sz w:val="22"/>
              </w:rPr>
              <w:t>Definitivo</w:t>
            </w:r>
          </w:p>
        </w:tc>
        <w:tc>
          <w:tcPr>
            <w:tcW w:w="4553" w:type="dxa"/>
            <w:vAlign w:val="center"/>
          </w:tcPr>
          <w:p w:rsidR="0009329B" w:rsidRPr="00A77AF5" w:rsidRDefault="0009329B" w:rsidP="0034001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77AF5">
              <w:rPr>
                <w:rFonts w:ascii="Arial" w:hAnsi="Arial" w:cs="Arial"/>
                <w:b/>
                <w:sz w:val="22"/>
              </w:rPr>
              <w:t>Fuente</w:t>
            </w:r>
          </w:p>
        </w:tc>
      </w:tr>
      <w:tr w:rsidR="0009329B" w:rsidRPr="00A77AF5" w:rsidTr="00340015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A77AF5" w:rsidRDefault="0009329B" w:rsidP="00A857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77AF5">
              <w:rPr>
                <w:rFonts w:ascii="Arial" w:hAnsi="Arial" w:cs="Arial"/>
                <w:sz w:val="22"/>
              </w:rPr>
              <w:t>Todos los artículos de este texto definitivo provienen del texto original de la Ley</w:t>
            </w:r>
            <w:r w:rsidR="00FA778B" w:rsidRPr="00A77AF5">
              <w:rPr>
                <w:rFonts w:ascii="Arial" w:hAnsi="Arial" w:cs="Arial"/>
                <w:sz w:val="22"/>
              </w:rPr>
              <w:t xml:space="preserve"> N°</w:t>
            </w:r>
            <w:r w:rsidR="00A85797">
              <w:rPr>
                <w:rFonts w:ascii="Arial" w:hAnsi="Arial" w:cs="Arial"/>
                <w:sz w:val="22"/>
              </w:rPr>
              <w:t xml:space="preserve"> </w:t>
            </w:r>
            <w:r w:rsidR="00FA778B" w:rsidRPr="00A77AF5">
              <w:rPr>
                <w:rFonts w:ascii="Arial" w:hAnsi="Arial" w:cs="Arial"/>
                <w:sz w:val="22"/>
              </w:rPr>
              <w:t>3</w:t>
            </w:r>
            <w:r w:rsidR="00A85797">
              <w:rPr>
                <w:rFonts w:ascii="Arial" w:hAnsi="Arial" w:cs="Arial"/>
                <w:sz w:val="22"/>
              </w:rPr>
              <w:t>.</w:t>
            </w:r>
            <w:r w:rsidR="00FA778B" w:rsidRPr="00A77AF5">
              <w:rPr>
                <w:rFonts w:ascii="Arial" w:hAnsi="Arial" w:cs="Arial"/>
                <w:sz w:val="22"/>
              </w:rPr>
              <w:t>000</w:t>
            </w:r>
            <w:r w:rsidRPr="00A77AF5">
              <w:rPr>
                <w:rFonts w:ascii="Arial" w:hAnsi="Arial" w:cs="Arial"/>
                <w:sz w:val="22"/>
              </w:rPr>
              <w:t>.</w:t>
            </w:r>
          </w:p>
        </w:tc>
      </w:tr>
    </w:tbl>
    <w:p w:rsidR="0009329B" w:rsidRPr="00A77AF5" w:rsidRDefault="0009329B" w:rsidP="00A77AF5">
      <w:pPr>
        <w:spacing w:line="360" w:lineRule="auto"/>
        <w:rPr>
          <w:rFonts w:ascii="Arial" w:hAnsi="Arial" w:cs="Arial"/>
          <w:b/>
          <w:sz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A77AF5" w:rsidTr="00340015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A77AF5" w:rsidRDefault="0009329B" w:rsidP="0034001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77AF5">
              <w:rPr>
                <w:rFonts w:ascii="Arial" w:hAnsi="Arial" w:cs="Arial"/>
                <w:b/>
                <w:sz w:val="22"/>
              </w:rPr>
              <w:t xml:space="preserve">LEY </w:t>
            </w:r>
            <w:r w:rsidR="00FA778B" w:rsidRPr="00A77AF5">
              <w:rPr>
                <w:rFonts w:ascii="Arial" w:hAnsi="Arial" w:cs="Arial"/>
                <w:b/>
                <w:sz w:val="22"/>
              </w:rPr>
              <w:t>H</w:t>
            </w:r>
            <w:r w:rsidR="003F1762" w:rsidRPr="00A77AF5">
              <w:rPr>
                <w:rFonts w:ascii="Arial" w:hAnsi="Arial" w:cs="Arial"/>
                <w:b/>
                <w:sz w:val="22"/>
              </w:rPr>
              <w:t xml:space="preserve"> </w:t>
            </w:r>
            <w:r w:rsidRPr="00A77AF5">
              <w:rPr>
                <w:rFonts w:ascii="Arial" w:hAnsi="Arial" w:cs="Arial"/>
                <w:b/>
                <w:sz w:val="22"/>
              </w:rPr>
              <w:t xml:space="preserve">- N° </w:t>
            </w:r>
            <w:r w:rsidR="00FA778B" w:rsidRPr="00A77AF5">
              <w:rPr>
                <w:rFonts w:ascii="Arial" w:hAnsi="Arial" w:cs="Arial"/>
                <w:b/>
                <w:sz w:val="22"/>
              </w:rPr>
              <w:t>3</w:t>
            </w:r>
            <w:r w:rsidR="00A85797">
              <w:rPr>
                <w:rFonts w:ascii="Arial" w:hAnsi="Arial" w:cs="Arial"/>
                <w:b/>
                <w:sz w:val="22"/>
              </w:rPr>
              <w:t>.</w:t>
            </w:r>
            <w:r w:rsidR="00FA778B" w:rsidRPr="00A77AF5">
              <w:rPr>
                <w:rFonts w:ascii="Arial" w:hAnsi="Arial" w:cs="Arial"/>
                <w:b/>
                <w:sz w:val="22"/>
              </w:rPr>
              <w:t>000</w:t>
            </w:r>
          </w:p>
          <w:p w:rsidR="0009329B" w:rsidRPr="00A85797" w:rsidRDefault="0009329B" w:rsidP="00A857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77AF5">
              <w:rPr>
                <w:rFonts w:ascii="Arial" w:hAnsi="Arial" w:cs="Arial"/>
                <w:b/>
                <w:sz w:val="22"/>
              </w:rPr>
              <w:t>TABLA DE EQUIVALENCIAS</w:t>
            </w:r>
          </w:p>
        </w:tc>
      </w:tr>
      <w:tr w:rsidR="0009329B" w:rsidRPr="00A77AF5" w:rsidTr="00340015">
        <w:trPr>
          <w:jc w:val="center"/>
        </w:trPr>
        <w:tc>
          <w:tcPr>
            <w:tcW w:w="3090" w:type="dxa"/>
            <w:vAlign w:val="center"/>
          </w:tcPr>
          <w:p w:rsidR="0009329B" w:rsidRPr="00A77AF5" w:rsidRDefault="0009329B" w:rsidP="003400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7AF5">
              <w:rPr>
                <w:rFonts w:ascii="Arial" w:hAnsi="Arial" w:cs="Arial"/>
                <w:b/>
                <w:sz w:val="22"/>
              </w:rPr>
              <w:t>Número de artículo</w:t>
            </w:r>
          </w:p>
          <w:p w:rsidR="0009329B" w:rsidRPr="00A77AF5" w:rsidRDefault="0009329B" w:rsidP="003400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7AF5">
              <w:rPr>
                <w:rFonts w:ascii="Arial" w:hAnsi="Arial" w:cs="Arial"/>
                <w:b/>
                <w:sz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77AF5" w:rsidRDefault="0009329B" w:rsidP="003400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7AF5">
              <w:rPr>
                <w:rFonts w:ascii="Arial" w:hAnsi="Arial" w:cs="Arial"/>
                <w:b/>
                <w:sz w:val="22"/>
              </w:rPr>
              <w:t>Número de artículo</w:t>
            </w:r>
          </w:p>
          <w:p w:rsidR="0009329B" w:rsidRPr="00A77AF5" w:rsidRDefault="0009329B" w:rsidP="003400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7AF5">
              <w:rPr>
                <w:rFonts w:ascii="Arial" w:hAnsi="Arial" w:cs="Arial"/>
                <w:b/>
                <w:sz w:val="22"/>
              </w:rPr>
              <w:t>del Texto de Referencia (Ley</w:t>
            </w:r>
            <w:r w:rsidR="003F1762" w:rsidRPr="00A77AF5">
              <w:rPr>
                <w:rFonts w:ascii="Arial" w:hAnsi="Arial" w:cs="Arial"/>
                <w:b/>
                <w:sz w:val="22"/>
              </w:rPr>
              <w:t xml:space="preserve"> </w:t>
            </w:r>
            <w:r w:rsidR="00FA778B" w:rsidRPr="00A77AF5">
              <w:rPr>
                <w:rFonts w:ascii="Arial" w:hAnsi="Arial" w:cs="Arial"/>
                <w:b/>
                <w:sz w:val="22"/>
              </w:rPr>
              <w:t>3</w:t>
            </w:r>
            <w:r w:rsidR="00A85797">
              <w:rPr>
                <w:rFonts w:ascii="Arial" w:hAnsi="Arial" w:cs="Arial"/>
                <w:b/>
                <w:sz w:val="22"/>
              </w:rPr>
              <w:t>.</w:t>
            </w:r>
            <w:r w:rsidR="00FA778B" w:rsidRPr="00A77AF5">
              <w:rPr>
                <w:rFonts w:ascii="Arial" w:hAnsi="Arial" w:cs="Arial"/>
                <w:b/>
                <w:sz w:val="22"/>
              </w:rPr>
              <w:t>000</w:t>
            </w:r>
            <w:r w:rsidRPr="00A77AF5">
              <w:rPr>
                <w:rFonts w:ascii="Arial" w:hAnsi="Arial" w:cs="Arial"/>
                <w:b/>
                <w:sz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A77AF5" w:rsidRDefault="0009329B" w:rsidP="003400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7AF5">
              <w:rPr>
                <w:rFonts w:ascii="Arial" w:hAnsi="Arial" w:cs="Arial"/>
                <w:b/>
                <w:sz w:val="22"/>
              </w:rPr>
              <w:t>Observaciones</w:t>
            </w:r>
          </w:p>
        </w:tc>
      </w:tr>
      <w:tr w:rsidR="0009329B" w:rsidRPr="00A77AF5" w:rsidTr="00340015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A77AF5" w:rsidRDefault="0009329B" w:rsidP="0034001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77AF5">
              <w:rPr>
                <w:rFonts w:ascii="Arial" w:hAnsi="Arial" w:cs="Arial"/>
                <w:sz w:val="22"/>
              </w:rPr>
              <w:t>La numeración de los artículos del Texto Definitivo corresponde a la numeración original de la Ley</w:t>
            </w:r>
            <w:r w:rsidR="003F1762" w:rsidRPr="00A77AF5">
              <w:rPr>
                <w:rFonts w:ascii="Arial" w:hAnsi="Arial" w:cs="Arial"/>
                <w:sz w:val="22"/>
              </w:rPr>
              <w:t xml:space="preserve"> </w:t>
            </w:r>
            <w:r w:rsidR="00FA778B" w:rsidRPr="00A77AF5">
              <w:rPr>
                <w:rFonts w:ascii="Arial" w:hAnsi="Arial" w:cs="Arial"/>
                <w:sz w:val="22"/>
              </w:rPr>
              <w:t>N°</w:t>
            </w:r>
            <w:r w:rsidR="00A85797">
              <w:rPr>
                <w:rFonts w:ascii="Arial" w:hAnsi="Arial" w:cs="Arial"/>
                <w:sz w:val="22"/>
              </w:rPr>
              <w:t xml:space="preserve"> </w:t>
            </w:r>
            <w:r w:rsidR="00FA778B" w:rsidRPr="00A77AF5">
              <w:rPr>
                <w:rFonts w:ascii="Arial" w:hAnsi="Arial" w:cs="Arial"/>
                <w:sz w:val="22"/>
              </w:rPr>
              <w:t>3</w:t>
            </w:r>
            <w:r w:rsidR="00A85797">
              <w:rPr>
                <w:rFonts w:ascii="Arial" w:hAnsi="Arial" w:cs="Arial"/>
                <w:sz w:val="22"/>
              </w:rPr>
              <w:t>.</w:t>
            </w:r>
            <w:r w:rsidR="00FA778B" w:rsidRPr="00A77AF5">
              <w:rPr>
                <w:rFonts w:ascii="Arial" w:hAnsi="Arial" w:cs="Arial"/>
                <w:sz w:val="22"/>
              </w:rPr>
              <w:t>000</w:t>
            </w:r>
            <w:r w:rsidRPr="00A77AF5">
              <w:rPr>
                <w:rFonts w:ascii="Arial" w:hAnsi="Arial" w:cs="Arial"/>
                <w:sz w:val="22"/>
              </w:rPr>
              <w:t>.</w:t>
            </w:r>
          </w:p>
        </w:tc>
      </w:tr>
    </w:tbl>
    <w:p w:rsidR="0009329B" w:rsidRPr="00A77AF5" w:rsidRDefault="0009329B" w:rsidP="00A77AF5">
      <w:pPr>
        <w:spacing w:line="360" w:lineRule="auto"/>
        <w:rPr>
          <w:rFonts w:ascii="Arial" w:hAnsi="Arial" w:cs="Arial"/>
          <w:sz w:val="22"/>
        </w:rPr>
      </w:pPr>
    </w:p>
    <w:sectPr w:rsidR="0009329B" w:rsidRPr="00A77AF5" w:rsidSect="00A77AF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2D2DC8"/>
    <w:rsid w:val="00340015"/>
    <w:rsid w:val="00356505"/>
    <w:rsid w:val="003C2425"/>
    <w:rsid w:val="003F1762"/>
    <w:rsid w:val="004A7641"/>
    <w:rsid w:val="005A4669"/>
    <w:rsid w:val="006506AC"/>
    <w:rsid w:val="006F6B15"/>
    <w:rsid w:val="00757279"/>
    <w:rsid w:val="007E7663"/>
    <w:rsid w:val="008E3EF3"/>
    <w:rsid w:val="00A77AF5"/>
    <w:rsid w:val="00A85797"/>
    <w:rsid w:val="00C67C06"/>
    <w:rsid w:val="00C8756B"/>
    <w:rsid w:val="00F76F73"/>
    <w:rsid w:val="00F914CB"/>
    <w:rsid w:val="00FA7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2014-08-27T17:39:00Z</dcterms:created>
  <dcterms:modified xsi:type="dcterms:W3CDTF">2015-10-06T18:05:00Z</dcterms:modified>
</cp:coreProperties>
</file>