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9C1" w:rsidRPr="00E332A5" w:rsidRDefault="00E049C1" w:rsidP="00E332A5">
      <w:pPr>
        <w:rPr>
          <w:rFonts w:ascii="Arial" w:hAnsi="Arial" w:cs="Arial"/>
          <w:b/>
          <w:sz w:val="22"/>
          <w:szCs w:val="22"/>
        </w:rPr>
      </w:pPr>
      <w:r w:rsidRPr="00E332A5">
        <w:rPr>
          <w:rFonts w:ascii="Arial" w:hAnsi="Arial" w:cs="Arial"/>
          <w:b/>
          <w:sz w:val="22"/>
          <w:szCs w:val="22"/>
        </w:rPr>
        <w:t>5477</w:t>
      </w:r>
    </w:p>
    <w:p w:rsidR="00E049C1" w:rsidRPr="00E332A5" w:rsidRDefault="00E049C1" w:rsidP="00E332A5">
      <w:pPr>
        <w:jc w:val="center"/>
        <w:rPr>
          <w:rFonts w:ascii="Arial" w:hAnsi="Arial" w:cs="Arial"/>
          <w:b/>
          <w:sz w:val="22"/>
          <w:szCs w:val="22"/>
        </w:rPr>
      </w:pPr>
    </w:p>
    <w:p w:rsidR="00C6271B" w:rsidRPr="00E332A5" w:rsidRDefault="00E049C1" w:rsidP="004A3E9D">
      <w:pPr>
        <w:jc w:val="center"/>
        <w:rPr>
          <w:rFonts w:ascii="Arial" w:hAnsi="Arial" w:cs="Arial"/>
          <w:b/>
          <w:bCs/>
          <w:sz w:val="22"/>
          <w:szCs w:val="22"/>
        </w:rPr>
      </w:pPr>
      <w:r w:rsidRPr="00E332A5">
        <w:rPr>
          <w:rFonts w:ascii="Arial" w:hAnsi="Arial" w:cs="Arial"/>
          <w:b/>
          <w:sz w:val="22"/>
          <w:szCs w:val="22"/>
        </w:rPr>
        <w:t>ORDENANZA I - Nº 28.185</w:t>
      </w:r>
    </w:p>
    <w:p w:rsidR="00E049C1" w:rsidRPr="00E332A5" w:rsidRDefault="00E049C1" w:rsidP="00E332A5">
      <w:pPr>
        <w:jc w:val="both"/>
        <w:rPr>
          <w:rFonts w:ascii="Arial" w:hAnsi="Arial" w:cs="Arial"/>
          <w:sz w:val="22"/>
          <w:szCs w:val="22"/>
        </w:rPr>
      </w:pPr>
    </w:p>
    <w:p w:rsidR="00E049C1" w:rsidRPr="00E332A5" w:rsidRDefault="00E049C1" w:rsidP="00E332A5">
      <w:pPr>
        <w:jc w:val="both"/>
        <w:rPr>
          <w:rFonts w:ascii="Arial" w:hAnsi="Arial" w:cs="Arial"/>
          <w:sz w:val="22"/>
          <w:szCs w:val="22"/>
        </w:rPr>
      </w:pPr>
      <w:r w:rsidRPr="00E332A5">
        <w:rPr>
          <w:rFonts w:ascii="Arial" w:hAnsi="Arial" w:cs="Arial"/>
          <w:sz w:val="22"/>
          <w:szCs w:val="22"/>
        </w:rPr>
        <w:t>Artículo 1º.- El Departamento Ejecutivo, por intermedio de la Subsecretaría de Desarrollo Económico, auspiciará la concertación de convenios entre los productores o cooperativas de productores provinciales y las cooperativas de permisionarios municipales, y cuando los producto</w:t>
      </w:r>
      <w:r w:rsidR="004A3E9D">
        <w:rPr>
          <w:rFonts w:ascii="Arial" w:hAnsi="Arial" w:cs="Arial"/>
          <w:sz w:val="22"/>
          <w:szCs w:val="22"/>
        </w:rPr>
        <w:t>s</w:t>
      </w:r>
      <w:r w:rsidRPr="00E332A5">
        <w:rPr>
          <w:rFonts w:ascii="Arial" w:hAnsi="Arial" w:cs="Arial"/>
          <w:sz w:val="22"/>
          <w:szCs w:val="22"/>
        </w:rPr>
        <w:t xml:space="preserve"> ofrecidos por los gobiernos de las provincias, juntamente con las cooperativas de productores sean de calidad, tratará de asegurar la colocación de los productos por medio de los permisionarios minoristas que actúan en los organismos de abasto municipales.</w:t>
      </w:r>
    </w:p>
    <w:p w:rsidR="00E049C1" w:rsidRPr="00E332A5" w:rsidRDefault="00E049C1" w:rsidP="00E332A5">
      <w:pPr>
        <w:jc w:val="both"/>
        <w:rPr>
          <w:rFonts w:ascii="Arial" w:hAnsi="Arial" w:cs="Arial"/>
          <w:sz w:val="22"/>
          <w:szCs w:val="22"/>
        </w:rPr>
      </w:pPr>
    </w:p>
    <w:p w:rsidR="00E049C1" w:rsidRPr="00E332A5" w:rsidRDefault="00E049C1" w:rsidP="00E332A5">
      <w:pPr>
        <w:jc w:val="both"/>
        <w:rPr>
          <w:rFonts w:ascii="Arial" w:hAnsi="Arial" w:cs="Arial"/>
          <w:sz w:val="22"/>
          <w:szCs w:val="22"/>
        </w:rPr>
      </w:pPr>
      <w:r w:rsidRPr="00E332A5">
        <w:rPr>
          <w:rFonts w:ascii="Arial" w:hAnsi="Arial" w:cs="Arial"/>
          <w:sz w:val="22"/>
          <w:szCs w:val="22"/>
        </w:rPr>
        <w:t>Artículo 2º.- El Departamento Ejecutivo pondrá a disposición de los gobiernos provinciales y específicamente de las cooperativas de productores provinciales, los espacios existentes en los mercados de concentración municipales y en las cámaras frigoríficas que posea, solicitando a esos efectos previamente la opinión de la Dirección de Abastecimiento y Consumo, sobre las posibilidades concretas en cada caso.</w:t>
      </w:r>
    </w:p>
    <w:p w:rsidR="00E049C1" w:rsidRPr="00E332A5" w:rsidRDefault="00E049C1" w:rsidP="00E332A5">
      <w:pPr>
        <w:jc w:val="both"/>
        <w:rPr>
          <w:rFonts w:ascii="Arial" w:hAnsi="Arial" w:cs="Arial"/>
          <w:sz w:val="22"/>
          <w:szCs w:val="22"/>
        </w:rPr>
      </w:pPr>
    </w:p>
    <w:p w:rsidR="00E049C1" w:rsidRPr="00E332A5" w:rsidRDefault="00E049C1" w:rsidP="00E332A5">
      <w:pPr>
        <w:jc w:val="both"/>
        <w:rPr>
          <w:rFonts w:ascii="Arial" w:hAnsi="Arial" w:cs="Arial"/>
          <w:sz w:val="22"/>
          <w:szCs w:val="22"/>
        </w:rPr>
      </w:pPr>
      <w:r w:rsidRPr="00E332A5">
        <w:rPr>
          <w:rFonts w:ascii="Arial" w:hAnsi="Arial" w:cs="Arial"/>
          <w:sz w:val="22"/>
          <w:szCs w:val="22"/>
        </w:rPr>
        <w:t>Artículo 3º.- Facúltese a la Dirección de Abastecimiento y Consumo para fomentar al cooperativismo entre productores y permisionarios municipales, y queda expresamente autorizado el Sr. Director de Abastecimiento y Consumo para firmar – ad referéndum – del Departamento Ejecutivo los convenios que tengan por objeto auspiciar dicho movimiento con el fin de eliminar a la intermediación.</w:t>
      </w:r>
    </w:p>
    <w:p w:rsidR="00E049C1" w:rsidRPr="00E332A5" w:rsidRDefault="00E049C1" w:rsidP="00E332A5">
      <w:pPr>
        <w:jc w:val="both"/>
        <w:rPr>
          <w:rFonts w:ascii="Arial" w:hAnsi="Arial" w:cs="Arial"/>
          <w:sz w:val="22"/>
          <w:szCs w:val="22"/>
        </w:rPr>
      </w:pPr>
    </w:p>
    <w:p w:rsidR="00E049C1" w:rsidRPr="00E332A5" w:rsidRDefault="00E049C1" w:rsidP="00E332A5">
      <w:pPr>
        <w:jc w:val="both"/>
        <w:rPr>
          <w:rFonts w:ascii="Arial" w:hAnsi="Arial" w:cs="Arial"/>
          <w:sz w:val="22"/>
          <w:szCs w:val="22"/>
        </w:rPr>
      </w:pPr>
      <w:r w:rsidRPr="00E332A5">
        <w:rPr>
          <w:rFonts w:ascii="Arial" w:hAnsi="Arial" w:cs="Arial"/>
          <w:sz w:val="22"/>
          <w:szCs w:val="22"/>
        </w:rPr>
        <w:t>Artículo 4º.- Los usuarios de los espacios y de las cámaras frigoríficas a que se refiere el artículo 2º, serán responsables de los gastos de limpieza, iluminación, vigilancia y conservación de las instalaciones de propiedad municipal.</w:t>
      </w:r>
    </w:p>
    <w:p w:rsidR="00E049C1" w:rsidRPr="00E332A5" w:rsidRDefault="00E049C1" w:rsidP="00E332A5">
      <w:pPr>
        <w:jc w:val="both"/>
        <w:rPr>
          <w:rFonts w:ascii="Arial" w:hAnsi="Arial" w:cs="Arial"/>
          <w:sz w:val="22"/>
          <w:szCs w:val="22"/>
        </w:rPr>
      </w:pPr>
    </w:p>
    <w:p w:rsidR="00E049C1" w:rsidRPr="00E332A5" w:rsidRDefault="00FC44A8" w:rsidP="00E332A5">
      <w:pPr>
        <w:jc w:val="both"/>
        <w:rPr>
          <w:rFonts w:ascii="Arial" w:hAnsi="Arial" w:cs="Arial"/>
          <w:sz w:val="22"/>
          <w:szCs w:val="22"/>
        </w:rPr>
      </w:pPr>
      <w:r w:rsidRPr="00E332A5">
        <w:rPr>
          <w:rFonts w:ascii="Arial" w:hAnsi="Arial" w:cs="Arial"/>
          <w:sz w:val="22"/>
          <w:szCs w:val="22"/>
        </w:rPr>
        <w:t xml:space="preserve">Artículo </w:t>
      </w:r>
      <w:r w:rsidR="00E049C1" w:rsidRPr="00E332A5">
        <w:rPr>
          <w:rFonts w:ascii="Arial" w:hAnsi="Arial" w:cs="Arial"/>
          <w:sz w:val="22"/>
          <w:szCs w:val="22"/>
        </w:rPr>
        <w:t xml:space="preserve">5º.- El Departamento Ejecutivo establecerá los derechos de arrendamiento y los aranceles por los servicios de ocupación de las cámaras frigoríficas que se prestan de acuerdo con la Ordenanza Fiscal vigente. </w:t>
      </w:r>
    </w:p>
    <w:p w:rsidR="004A3E9D" w:rsidRPr="00E332A5" w:rsidRDefault="004A3E9D" w:rsidP="00E332A5">
      <w:pPr>
        <w:jc w:val="both"/>
        <w:rPr>
          <w:rFonts w:ascii="Arial" w:hAnsi="Arial" w:cs="Arial"/>
          <w:snapToGrid w:val="0"/>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014"/>
        <w:gridCol w:w="3986"/>
      </w:tblGrid>
      <w:tr w:rsidR="00E049C1" w:rsidRPr="00E332A5" w:rsidTr="00E332A5">
        <w:trPr>
          <w:jc w:val="center"/>
        </w:trPr>
        <w:tc>
          <w:tcPr>
            <w:tcW w:w="9000" w:type="dxa"/>
            <w:gridSpan w:val="2"/>
            <w:vAlign w:val="center"/>
          </w:tcPr>
          <w:p w:rsidR="00E049C1" w:rsidRPr="00E332A5" w:rsidRDefault="00E049C1" w:rsidP="00E332A5">
            <w:pPr>
              <w:pStyle w:val="Textosinformato"/>
              <w:spacing w:before="240"/>
              <w:jc w:val="center"/>
              <w:rPr>
                <w:rFonts w:ascii="Arial" w:hAnsi="Arial" w:cs="Arial"/>
                <w:b/>
                <w:sz w:val="22"/>
              </w:rPr>
            </w:pPr>
            <w:r w:rsidRPr="00E332A5">
              <w:rPr>
                <w:rFonts w:ascii="Arial" w:hAnsi="Arial" w:cs="Arial"/>
                <w:b/>
                <w:sz w:val="22"/>
                <w:szCs w:val="22"/>
              </w:rPr>
              <w:t xml:space="preserve">ORDENANZA </w:t>
            </w:r>
            <w:r w:rsidRPr="00E332A5">
              <w:rPr>
                <w:rFonts w:ascii="Arial" w:hAnsi="Arial" w:cs="Arial"/>
                <w:b/>
                <w:bCs/>
                <w:sz w:val="22"/>
                <w:szCs w:val="22"/>
              </w:rPr>
              <w:t xml:space="preserve">I – </w:t>
            </w:r>
            <w:r w:rsidRPr="00E332A5">
              <w:rPr>
                <w:rFonts w:ascii="Arial" w:hAnsi="Arial" w:cs="Arial"/>
                <w:b/>
                <w:sz w:val="22"/>
                <w:szCs w:val="22"/>
              </w:rPr>
              <w:t>Nº 28.185</w:t>
            </w:r>
          </w:p>
          <w:p w:rsidR="00E049C1" w:rsidRPr="00E332A5" w:rsidRDefault="00E049C1" w:rsidP="00E332A5">
            <w:pPr>
              <w:pStyle w:val="Textosinformato"/>
              <w:jc w:val="center"/>
              <w:rPr>
                <w:rFonts w:ascii="Arial" w:hAnsi="Arial" w:cs="Arial"/>
                <w:b/>
                <w:sz w:val="22"/>
                <w:u w:val="single"/>
              </w:rPr>
            </w:pPr>
            <w:r w:rsidRPr="00E332A5">
              <w:rPr>
                <w:rFonts w:ascii="Arial" w:hAnsi="Arial" w:cs="Arial"/>
                <w:b/>
                <w:sz w:val="22"/>
                <w:szCs w:val="22"/>
              </w:rPr>
              <w:t>TABLA DE ANTECEDENTES</w:t>
            </w:r>
          </w:p>
        </w:tc>
      </w:tr>
      <w:tr w:rsidR="00E049C1" w:rsidRPr="00E332A5" w:rsidTr="005357E0">
        <w:trPr>
          <w:jc w:val="center"/>
        </w:trPr>
        <w:tc>
          <w:tcPr>
            <w:tcW w:w="5014" w:type="dxa"/>
            <w:vAlign w:val="center"/>
          </w:tcPr>
          <w:p w:rsidR="00E049C1" w:rsidRPr="00E332A5" w:rsidRDefault="00E049C1" w:rsidP="005357E0">
            <w:pPr>
              <w:pStyle w:val="Textosinformato"/>
              <w:jc w:val="center"/>
              <w:rPr>
                <w:rFonts w:ascii="Arial" w:hAnsi="Arial" w:cs="Arial"/>
                <w:b/>
                <w:sz w:val="22"/>
              </w:rPr>
            </w:pPr>
            <w:r w:rsidRPr="00E332A5">
              <w:rPr>
                <w:rFonts w:ascii="Arial" w:hAnsi="Arial" w:cs="Arial"/>
                <w:b/>
                <w:sz w:val="22"/>
                <w:szCs w:val="22"/>
              </w:rPr>
              <w:t>Número de Artículo del Texto</w:t>
            </w:r>
            <w:r w:rsidR="005357E0">
              <w:rPr>
                <w:rFonts w:ascii="Arial" w:hAnsi="Arial" w:cs="Arial"/>
                <w:b/>
                <w:sz w:val="22"/>
              </w:rPr>
              <w:t xml:space="preserve"> </w:t>
            </w:r>
            <w:r w:rsidRPr="00E332A5">
              <w:rPr>
                <w:rFonts w:ascii="Arial" w:hAnsi="Arial" w:cs="Arial"/>
                <w:b/>
                <w:sz w:val="22"/>
                <w:szCs w:val="22"/>
              </w:rPr>
              <w:t>Definitivo</w:t>
            </w:r>
          </w:p>
        </w:tc>
        <w:tc>
          <w:tcPr>
            <w:tcW w:w="3986" w:type="dxa"/>
            <w:vAlign w:val="center"/>
          </w:tcPr>
          <w:p w:rsidR="00E049C1" w:rsidRPr="00E332A5" w:rsidRDefault="00E049C1" w:rsidP="00E332A5">
            <w:pPr>
              <w:pStyle w:val="Textosinformato"/>
              <w:jc w:val="center"/>
              <w:rPr>
                <w:rFonts w:ascii="Arial" w:hAnsi="Arial" w:cs="Arial"/>
                <w:b/>
                <w:sz w:val="22"/>
              </w:rPr>
            </w:pPr>
            <w:r w:rsidRPr="00E332A5">
              <w:rPr>
                <w:rFonts w:ascii="Arial" w:hAnsi="Arial" w:cs="Arial"/>
                <w:b/>
                <w:sz w:val="22"/>
                <w:szCs w:val="22"/>
              </w:rPr>
              <w:t>Fuente</w:t>
            </w:r>
          </w:p>
        </w:tc>
      </w:tr>
      <w:tr w:rsidR="00E049C1" w:rsidRPr="00E332A5" w:rsidTr="00E332A5">
        <w:trPr>
          <w:trHeight w:val="555"/>
          <w:jc w:val="center"/>
        </w:trPr>
        <w:tc>
          <w:tcPr>
            <w:tcW w:w="9000" w:type="dxa"/>
            <w:gridSpan w:val="2"/>
            <w:vAlign w:val="center"/>
          </w:tcPr>
          <w:p w:rsidR="00C6271B" w:rsidRPr="00E332A5" w:rsidRDefault="00C6271B" w:rsidP="00E332A5">
            <w:pPr>
              <w:jc w:val="center"/>
              <w:rPr>
                <w:rFonts w:ascii="Arial" w:hAnsi="Arial" w:cs="Arial"/>
              </w:rPr>
            </w:pPr>
            <w:r w:rsidRPr="00E332A5">
              <w:rPr>
                <w:rFonts w:ascii="Arial" w:hAnsi="Arial" w:cs="Arial"/>
                <w:sz w:val="22"/>
                <w:szCs w:val="22"/>
              </w:rPr>
              <w:t>Todos los artículos de este Texto Definitivo provienen del texto consolidado obrante en el Digesto Municipal de la Ciudad de Buenos Aires, Segunda Edición, Año 1993, AD 454.3</w:t>
            </w:r>
          </w:p>
        </w:tc>
      </w:tr>
    </w:tbl>
    <w:p w:rsidR="00E049C1" w:rsidRPr="00E332A5" w:rsidRDefault="00E049C1" w:rsidP="00E332A5">
      <w:pPr>
        <w:ind w:left="3540"/>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4140"/>
        <w:gridCol w:w="1950"/>
      </w:tblGrid>
      <w:tr w:rsidR="00E049C1" w:rsidRPr="00E332A5" w:rsidTr="00E332A5">
        <w:trPr>
          <w:jc w:val="center"/>
        </w:trPr>
        <w:tc>
          <w:tcPr>
            <w:tcW w:w="9180" w:type="dxa"/>
            <w:gridSpan w:val="3"/>
            <w:vAlign w:val="center"/>
          </w:tcPr>
          <w:p w:rsidR="00E049C1" w:rsidRPr="00E332A5" w:rsidRDefault="00E049C1" w:rsidP="00E332A5">
            <w:pPr>
              <w:pStyle w:val="Textosinformato"/>
              <w:spacing w:before="240"/>
              <w:jc w:val="center"/>
              <w:rPr>
                <w:rFonts w:ascii="Arial" w:hAnsi="Arial" w:cs="Arial"/>
                <w:b/>
                <w:sz w:val="22"/>
              </w:rPr>
            </w:pPr>
            <w:r w:rsidRPr="00E332A5">
              <w:rPr>
                <w:rFonts w:ascii="Arial" w:hAnsi="Arial" w:cs="Arial"/>
                <w:b/>
                <w:sz w:val="22"/>
                <w:szCs w:val="22"/>
              </w:rPr>
              <w:t xml:space="preserve">ORDENANZA </w:t>
            </w:r>
            <w:r w:rsidRPr="00E332A5">
              <w:rPr>
                <w:rFonts w:ascii="Arial" w:hAnsi="Arial" w:cs="Arial"/>
                <w:b/>
                <w:bCs/>
                <w:sz w:val="22"/>
                <w:szCs w:val="22"/>
              </w:rPr>
              <w:t xml:space="preserve">I – </w:t>
            </w:r>
            <w:r w:rsidRPr="00E332A5">
              <w:rPr>
                <w:rFonts w:ascii="Arial" w:hAnsi="Arial" w:cs="Arial"/>
                <w:b/>
                <w:sz w:val="22"/>
                <w:szCs w:val="22"/>
              </w:rPr>
              <w:t>Nº 28.185</w:t>
            </w:r>
          </w:p>
          <w:p w:rsidR="00E049C1" w:rsidRPr="00E332A5" w:rsidRDefault="00E049C1" w:rsidP="00E332A5">
            <w:pPr>
              <w:pStyle w:val="Textosinformato"/>
              <w:jc w:val="center"/>
              <w:rPr>
                <w:rFonts w:ascii="Arial" w:hAnsi="Arial" w:cs="Arial"/>
                <w:sz w:val="22"/>
              </w:rPr>
            </w:pPr>
            <w:r w:rsidRPr="00E332A5">
              <w:rPr>
                <w:rFonts w:ascii="Arial" w:hAnsi="Arial" w:cs="Arial"/>
                <w:b/>
                <w:sz w:val="22"/>
                <w:szCs w:val="22"/>
              </w:rPr>
              <w:t>TABLA DE EQUIVALENCIAS</w:t>
            </w:r>
          </w:p>
        </w:tc>
      </w:tr>
      <w:tr w:rsidR="00E049C1" w:rsidRPr="00E332A5" w:rsidTr="005357E0">
        <w:trPr>
          <w:jc w:val="center"/>
        </w:trPr>
        <w:tc>
          <w:tcPr>
            <w:tcW w:w="3090" w:type="dxa"/>
            <w:vAlign w:val="center"/>
          </w:tcPr>
          <w:p w:rsidR="00E049C1" w:rsidRPr="00E332A5" w:rsidRDefault="00E049C1" w:rsidP="00E332A5">
            <w:pPr>
              <w:jc w:val="center"/>
              <w:rPr>
                <w:rFonts w:ascii="Arial" w:hAnsi="Arial" w:cs="Arial"/>
                <w:b/>
              </w:rPr>
            </w:pPr>
            <w:r w:rsidRPr="00E332A5">
              <w:rPr>
                <w:rFonts w:ascii="Arial" w:hAnsi="Arial" w:cs="Arial"/>
                <w:b/>
                <w:sz w:val="22"/>
                <w:szCs w:val="22"/>
              </w:rPr>
              <w:t>Número de artículo</w:t>
            </w:r>
          </w:p>
          <w:p w:rsidR="00E049C1" w:rsidRPr="00E332A5" w:rsidRDefault="00E049C1" w:rsidP="00E332A5">
            <w:pPr>
              <w:jc w:val="center"/>
              <w:rPr>
                <w:rFonts w:ascii="Arial" w:hAnsi="Arial" w:cs="Arial"/>
                <w:b/>
              </w:rPr>
            </w:pPr>
            <w:r w:rsidRPr="00E332A5">
              <w:rPr>
                <w:rFonts w:ascii="Arial" w:hAnsi="Arial" w:cs="Arial"/>
                <w:b/>
                <w:sz w:val="22"/>
                <w:szCs w:val="22"/>
              </w:rPr>
              <w:t>del Texto Definitivo</w:t>
            </w:r>
          </w:p>
        </w:tc>
        <w:tc>
          <w:tcPr>
            <w:tcW w:w="4140" w:type="dxa"/>
            <w:vAlign w:val="center"/>
          </w:tcPr>
          <w:p w:rsidR="00E049C1" w:rsidRPr="00E332A5" w:rsidRDefault="00E049C1" w:rsidP="005357E0">
            <w:pPr>
              <w:jc w:val="center"/>
              <w:rPr>
                <w:rFonts w:ascii="Arial" w:hAnsi="Arial" w:cs="Arial"/>
                <w:b/>
              </w:rPr>
            </w:pPr>
            <w:r w:rsidRPr="00E332A5">
              <w:rPr>
                <w:rFonts w:ascii="Arial" w:hAnsi="Arial" w:cs="Arial"/>
                <w:b/>
                <w:sz w:val="22"/>
                <w:szCs w:val="22"/>
              </w:rPr>
              <w:t>Número de artículo</w:t>
            </w:r>
            <w:r w:rsidR="005357E0">
              <w:rPr>
                <w:rFonts w:ascii="Arial" w:hAnsi="Arial" w:cs="Arial"/>
                <w:b/>
              </w:rPr>
              <w:t xml:space="preserve"> </w:t>
            </w:r>
            <w:r w:rsidRPr="00E332A5">
              <w:rPr>
                <w:rFonts w:ascii="Arial" w:hAnsi="Arial" w:cs="Arial"/>
                <w:b/>
                <w:sz w:val="22"/>
                <w:szCs w:val="22"/>
              </w:rPr>
              <w:t>del Texto de Referencia (Ordenanza Nº 28.185)</w:t>
            </w:r>
          </w:p>
        </w:tc>
        <w:tc>
          <w:tcPr>
            <w:tcW w:w="1950" w:type="dxa"/>
            <w:vAlign w:val="center"/>
          </w:tcPr>
          <w:p w:rsidR="00E049C1" w:rsidRPr="00E332A5" w:rsidRDefault="00E049C1" w:rsidP="00E332A5">
            <w:pPr>
              <w:jc w:val="center"/>
              <w:rPr>
                <w:rFonts w:ascii="Arial" w:hAnsi="Arial" w:cs="Arial"/>
                <w:b/>
              </w:rPr>
            </w:pPr>
            <w:r w:rsidRPr="00E332A5">
              <w:rPr>
                <w:rFonts w:ascii="Arial" w:hAnsi="Arial" w:cs="Arial"/>
                <w:b/>
                <w:sz w:val="22"/>
                <w:szCs w:val="22"/>
              </w:rPr>
              <w:t>Observaciones</w:t>
            </w:r>
          </w:p>
        </w:tc>
      </w:tr>
      <w:tr w:rsidR="00E049C1" w:rsidRPr="00E332A5" w:rsidTr="00E332A5">
        <w:trPr>
          <w:jc w:val="center"/>
        </w:trPr>
        <w:tc>
          <w:tcPr>
            <w:tcW w:w="9180" w:type="dxa"/>
            <w:gridSpan w:val="3"/>
            <w:vAlign w:val="center"/>
          </w:tcPr>
          <w:p w:rsidR="00C6271B" w:rsidRPr="00E332A5" w:rsidRDefault="00C6271B" w:rsidP="00E332A5">
            <w:pPr>
              <w:jc w:val="center"/>
              <w:rPr>
                <w:rFonts w:ascii="Arial" w:hAnsi="Arial" w:cs="Arial"/>
              </w:rPr>
            </w:pPr>
            <w:r w:rsidRPr="00E332A5">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454.3</w:t>
            </w:r>
          </w:p>
        </w:tc>
      </w:tr>
    </w:tbl>
    <w:p w:rsidR="00C6271B" w:rsidRPr="00E332A5" w:rsidRDefault="00C6271B" w:rsidP="00E332A5">
      <w:pPr>
        <w:jc w:val="both"/>
        <w:rPr>
          <w:rFonts w:ascii="Arial" w:hAnsi="Arial" w:cs="Arial"/>
          <w:b/>
          <w:sz w:val="22"/>
          <w:szCs w:val="22"/>
        </w:rPr>
      </w:pPr>
    </w:p>
    <w:p w:rsidR="00E049C1" w:rsidRPr="00E332A5" w:rsidRDefault="00E049C1" w:rsidP="00E332A5">
      <w:pPr>
        <w:jc w:val="both"/>
        <w:rPr>
          <w:rFonts w:ascii="Arial" w:hAnsi="Arial" w:cs="Arial"/>
          <w:b/>
          <w:sz w:val="22"/>
          <w:szCs w:val="22"/>
        </w:rPr>
      </w:pPr>
      <w:r w:rsidRPr="00E332A5">
        <w:rPr>
          <w:rFonts w:ascii="Arial" w:hAnsi="Arial" w:cs="Arial"/>
          <w:b/>
          <w:sz w:val="22"/>
          <w:szCs w:val="22"/>
          <w:u w:val="single"/>
        </w:rPr>
        <w:t>Observaciones generales</w:t>
      </w:r>
      <w:r w:rsidRPr="00E332A5">
        <w:rPr>
          <w:rFonts w:ascii="Arial" w:hAnsi="Arial" w:cs="Arial"/>
          <w:b/>
          <w:sz w:val="22"/>
          <w:szCs w:val="22"/>
        </w:rPr>
        <w:t>:</w:t>
      </w:r>
    </w:p>
    <w:p w:rsidR="00C6271B" w:rsidRPr="005357E0" w:rsidRDefault="00C6271B" w:rsidP="005357E0">
      <w:pPr>
        <w:jc w:val="both"/>
        <w:rPr>
          <w:rFonts w:ascii="Arial" w:hAnsi="Arial" w:cs="Arial"/>
          <w:sz w:val="22"/>
          <w:szCs w:val="22"/>
        </w:rPr>
      </w:pPr>
      <w:bookmarkStart w:id="0" w:name="_GoBack"/>
      <w:bookmarkEnd w:id="0"/>
      <w:r w:rsidRPr="005357E0">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C6271B" w:rsidRPr="00E332A5" w:rsidRDefault="00C6271B" w:rsidP="00E332A5">
      <w:pPr>
        <w:ind w:left="360"/>
        <w:jc w:val="both"/>
        <w:rPr>
          <w:rFonts w:ascii="Arial" w:hAnsi="Arial" w:cs="Arial"/>
          <w:sz w:val="22"/>
          <w:szCs w:val="22"/>
        </w:rPr>
      </w:pPr>
    </w:p>
    <w:p w:rsidR="00A552B6" w:rsidRPr="00E332A5" w:rsidRDefault="00A552B6" w:rsidP="00E332A5">
      <w:pPr>
        <w:rPr>
          <w:rFonts w:ascii="Arial" w:hAnsi="Arial" w:cs="Arial"/>
          <w:sz w:val="22"/>
          <w:szCs w:val="22"/>
        </w:rPr>
      </w:pPr>
    </w:p>
    <w:sectPr w:rsidR="00A552B6" w:rsidRPr="00E332A5" w:rsidSect="00E332A5">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912BC"/>
    <w:multiLevelType w:val="hybridMultilevel"/>
    <w:tmpl w:val="6A2C70B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049C1"/>
    <w:rsid w:val="00056939"/>
    <w:rsid w:val="00080F17"/>
    <w:rsid w:val="001418B3"/>
    <w:rsid w:val="003D02C6"/>
    <w:rsid w:val="00422922"/>
    <w:rsid w:val="00437466"/>
    <w:rsid w:val="00444D7A"/>
    <w:rsid w:val="004A3E9D"/>
    <w:rsid w:val="005103CC"/>
    <w:rsid w:val="005261CF"/>
    <w:rsid w:val="005357E0"/>
    <w:rsid w:val="005645B4"/>
    <w:rsid w:val="006835F8"/>
    <w:rsid w:val="006923FA"/>
    <w:rsid w:val="00885ED6"/>
    <w:rsid w:val="00A552B6"/>
    <w:rsid w:val="00AA75E0"/>
    <w:rsid w:val="00C6271B"/>
    <w:rsid w:val="00CF3978"/>
    <w:rsid w:val="00D02209"/>
    <w:rsid w:val="00E049C1"/>
    <w:rsid w:val="00E332A5"/>
    <w:rsid w:val="00FC44A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049C1"/>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E049C1"/>
    <w:rPr>
      <w:rFonts w:ascii="Courier New" w:hAnsi="Courier New"/>
      <w:sz w:val="20"/>
    </w:rPr>
  </w:style>
  <w:style w:type="character" w:customStyle="1" w:styleId="TextosinformatoCar">
    <w:name w:val="Texto sin formato Car"/>
    <w:basedOn w:val="Fuentedeprrafopredeter"/>
    <w:link w:val="Textosinformato"/>
    <w:rsid w:val="00E049C1"/>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627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419</Words>
  <Characters>2308</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2014-09-30T12:45:00Z</dcterms:created>
  <dcterms:modified xsi:type="dcterms:W3CDTF">2015-10-16T16:06:00Z</dcterms:modified>
</cp:coreProperties>
</file>