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114F28" w:rsidRDefault="00E07AD5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4F28">
        <w:rPr>
          <w:rFonts w:ascii="Arial" w:hAnsi="Arial" w:cs="Arial"/>
          <w:b/>
          <w:sz w:val="22"/>
          <w:szCs w:val="22"/>
        </w:rPr>
        <w:t>2007-12-0891</w:t>
      </w:r>
    </w:p>
    <w:p w:rsidR="00114F28" w:rsidRDefault="00114F28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14F28" w:rsidRPr="00114F28" w:rsidRDefault="0064640F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4640F">
        <w:rPr>
          <w:rFonts w:ascii="Arial" w:hAnsi="Arial" w:cs="Arial"/>
          <w:b/>
          <w:sz w:val="22"/>
          <w:szCs w:val="22"/>
        </w:rPr>
        <w:t>LEY G - N° 2.556</w:t>
      </w:r>
    </w:p>
    <w:p w:rsidR="00114F28" w:rsidRDefault="00114F28" w:rsidP="00E07AD5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eastAsia="es-AR"/>
        </w:rPr>
      </w:pPr>
    </w:p>
    <w:p w:rsidR="00E07AD5" w:rsidRPr="00114F28" w:rsidRDefault="00E07AD5" w:rsidP="00E07AD5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eastAsia="es-AR"/>
        </w:rPr>
      </w:pPr>
      <w:r w:rsidRPr="00114F28">
        <w:rPr>
          <w:rFonts w:ascii="Arial" w:hAnsi="Arial" w:cs="Arial"/>
          <w:color w:val="000000"/>
          <w:sz w:val="22"/>
          <w:szCs w:val="22"/>
          <w:lang w:eastAsia="es-AR"/>
        </w:rPr>
        <w:t>Artículo 1° - Declárese bien integrante del Patrimonio Cultural de la Ciudad de Buenos Aires (PCCABA), en la categoría Monumentos artículo 4°, inc. b) de la Ley N° 1.227 #, al inmueble ubicado en la calle México 524, sede de la Sociedad Argentina de Escritores.</w:t>
      </w:r>
    </w:p>
    <w:p w:rsidR="00E07AD5" w:rsidRPr="00114F28" w:rsidRDefault="00E07AD5" w:rsidP="00E07AD5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  <w:lang w:eastAsia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114F28" w:rsidTr="003A2640">
        <w:trPr>
          <w:jc w:val="center"/>
        </w:trPr>
        <w:tc>
          <w:tcPr>
            <w:tcW w:w="8969" w:type="dxa"/>
            <w:gridSpan w:val="2"/>
          </w:tcPr>
          <w:p w:rsidR="0009329B" w:rsidRPr="00114F28" w:rsidRDefault="0009329B" w:rsidP="00114F2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07AD5" w:rsidRPr="00114F2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14F2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14F2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07AD5" w:rsidRPr="00114F2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14F2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07AD5" w:rsidRPr="00114F28">
              <w:rPr>
                <w:rFonts w:ascii="Arial" w:hAnsi="Arial" w:cs="Arial"/>
                <w:b/>
                <w:sz w:val="22"/>
                <w:szCs w:val="22"/>
              </w:rPr>
              <w:t>556</w:t>
            </w:r>
          </w:p>
          <w:p w:rsidR="0009329B" w:rsidRPr="00114F28" w:rsidRDefault="0009329B" w:rsidP="00114F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114F28" w:rsidTr="003A2640">
        <w:trPr>
          <w:jc w:val="center"/>
        </w:trPr>
        <w:tc>
          <w:tcPr>
            <w:tcW w:w="3780" w:type="dxa"/>
            <w:vAlign w:val="center"/>
          </w:tcPr>
          <w:p w:rsidR="0009329B" w:rsidRPr="00114F28" w:rsidRDefault="0009329B" w:rsidP="0064640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4640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14F2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114F28" w:rsidRDefault="0009329B" w:rsidP="003A26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114F2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114F28" w:rsidRDefault="0009329B" w:rsidP="00114F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14F2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14F28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E07AD5" w:rsidRPr="00114F28">
              <w:rPr>
                <w:rFonts w:ascii="Arial" w:hAnsi="Arial" w:cs="Arial"/>
                <w:sz w:val="22"/>
                <w:szCs w:val="22"/>
              </w:rPr>
              <w:t>2</w:t>
            </w:r>
            <w:r w:rsidR="00114F28">
              <w:rPr>
                <w:rFonts w:ascii="Arial" w:hAnsi="Arial" w:cs="Arial"/>
                <w:sz w:val="22"/>
                <w:szCs w:val="22"/>
              </w:rPr>
              <w:t>.</w:t>
            </w:r>
            <w:r w:rsidR="00E07AD5" w:rsidRPr="00114F28">
              <w:rPr>
                <w:rFonts w:ascii="Arial" w:hAnsi="Arial" w:cs="Arial"/>
                <w:sz w:val="22"/>
                <w:szCs w:val="22"/>
              </w:rPr>
              <w:t>556</w:t>
            </w:r>
            <w:r w:rsidRPr="00114F2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14F28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114F28" w:rsidTr="003A2640">
        <w:trPr>
          <w:jc w:val="center"/>
        </w:trPr>
        <w:tc>
          <w:tcPr>
            <w:tcW w:w="8969" w:type="dxa"/>
            <w:gridSpan w:val="3"/>
          </w:tcPr>
          <w:p w:rsidR="0009329B" w:rsidRPr="00114F28" w:rsidRDefault="0009329B" w:rsidP="00114F2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07AD5" w:rsidRPr="00114F2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14F2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14F2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07AD5" w:rsidRPr="00114F2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14F2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07AD5" w:rsidRPr="00114F28">
              <w:rPr>
                <w:rFonts w:ascii="Arial" w:hAnsi="Arial" w:cs="Arial"/>
                <w:b/>
                <w:sz w:val="22"/>
                <w:szCs w:val="22"/>
              </w:rPr>
              <w:t>556</w:t>
            </w:r>
          </w:p>
          <w:p w:rsidR="0009329B" w:rsidRPr="00114F28" w:rsidRDefault="0009329B" w:rsidP="00114F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114F28" w:rsidTr="003A2640">
        <w:trPr>
          <w:jc w:val="center"/>
        </w:trPr>
        <w:tc>
          <w:tcPr>
            <w:tcW w:w="3090" w:type="dxa"/>
            <w:vAlign w:val="center"/>
          </w:tcPr>
          <w:p w:rsidR="0009329B" w:rsidRPr="00114F28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14F28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114F28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14F28" w:rsidRDefault="003A2640" w:rsidP="00E07A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E07AD5" w:rsidRPr="00114F2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14F2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07AD5" w:rsidRPr="00114F28">
              <w:rPr>
                <w:rFonts w:ascii="Arial" w:hAnsi="Arial" w:cs="Arial"/>
                <w:b/>
                <w:sz w:val="22"/>
                <w:szCs w:val="22"/>
              </w:rPr>
              <w:t>556</w:t>
            </w:r>
            <w:r w:rsidR="0009329B" w:rsidRPr="00114F2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114F28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14F2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114F28" w:rsidTr="003A2640">
        <w:trPr>
          <w:jc w:val="center"/>
        </w:trPr>
        <w:tc>
          <w:tcPr>
            <w:tcW w:w="8969" w:type="dxa"/>
            <w:gridSpan w:val="3"/>
          </w:tcPr>
          <w:p w:rsidR="0009329B" w:rsidRPr="00114F28" w:rsidRDefault="0009329B" w:rsidP="00E07AD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14F2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07AD5" w:rsidRPr="00114F28">
              <w:rPr>
                <w:rFonts w:ascii="Arial" w:hAnsi="Arial" w:cs="Arial"/>
                <w:sz w:val="22"/>
                <w:szCs w:val="22"/>
              </w:rPr>
              <w:t>2</w:t>
            </w:r>
            <w:r w:rsidR="00114F28">
              <w:rPr>
                <w:rFonts w:ascii="Arial" w:hAnsi="Arial" w:cs="Arial"/>
                <w:sz w:val="22"/>
                <w:szCs w:val="22"/>
              </w:rPr>
              <w:t>.</w:t>
            </w:r>
            <w:r w:rsidR="00E07AD5" w:rsidRPr="00114F28">
              <w:rPr>
                <w:rFonts w:ascii="Arial" w:hAnsi="Arial" w:cs="Arial"/>
                <w:sz w:val="22"/>
                <w:szCs w:val="22"/>
              </w:rPr>
              <w:t>556</w:t>
            </w:r>
            <w:r w:rsidRPr="00114F2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14F28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114F28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4F2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114F28">
        <w:rPr>
          <w:rFonts w:ascii="Arial" w:hAnsi="Arial" w:cs="Arial"/>
          <w:b/>
          <w:sz w:val="22"/>
          <w:szCs w:val="22"/>
        </w:rPr>
        <w:t>:</w:t>
      </w:r>
    </w:p>
    <w:p w:rsidR="00E07AD5" w:rsidRPr="00114F28" w:rsidRDefault="00E07AD5" w:rsidP="003A2640">
      <w:pPr>
        <w:spacing w:line="360" w:lineRule="auto"/>
        <w:rPr>
          <w:rFonts w:ascii="Arial" w:hAnsi="Arial" w:cs="Arial"/>
          <w:sz w:val="22"/>
          <w:szCs w:val="22"/>
        </w:rPr>
      </w:pPr>
      <w:r w:rsidRPr="00114F28">
        <w:rPr>
          <w:rFonts w:ascii="Arial" w:hAnsi="Arial"/>
          <w:sz w:val="22"/>
          <w:szCs w:val="22"/>
        </w:rPr>
        <w:t># La presente Norma contiene remisiones externas #</w:t>
      </w:r>
    </w:p>
    <w:sectPr w:rsidR="00E07AD5" w:rsidRPr="00114F28" w:rsidSect="00114F2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14F28"/>
    <w:rsid w:val="00220FD9"/>
    <w:rsid w:val="002B476A"/>
    <w:rsid w:val="002D2DC8"/>
    <w:rsid w:val="00333DA6"/>
    <w:rsid w:val="003A2640"/>
    <w:rsid w:val="004A7641"/>
    <w:rsid w:val="005C0D00"/>
    <w:rsid w:val="005D403A"/>
    <w:rsid w:val="0064640F"/>
    <w:rsid w:val="006506AC"/>
    <w:rsid w:val="006B1B39"/>
    <w:rsid w:val="00A476C0"/>
    <w:rsid w:val="00B96D64"/>
    <w:rsid w:val="00BF0F88"/>
    <w:rsid w:val="00C67C06"/>
    <w:rsid w:val="00CD78E8"/>
    <w:rsid w:val="00E07AD5"/>
    <w:rsid w:val="00EB152E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2015-09-25T18:33:00Z</dcterms:modified>
</cp:coreProperties>
</file>