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244E65" w:rsidRDefault="00A71C3E" w:rsidP="00244E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44E65">
        <w:rPr>
          <w:rFonts w:ascii="Arial" w:hAnsi="Arial" w:cs="Arial"/>
          <w:b/>
          <w:sz w:val="22"/>
          <w:szCs w:val="22"/>
        </w:rPr>
        <w:t>2007-12-0875</w:t>
      </w:r>
    </w:p>
    <w:p w:rsidR="00244E65" w:rsidRDefault="00244E65" w:rsidP="00244E6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56B89" w:rsidRDefault="00D56B89" w:rsidP="00D56B89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44E65">
        <w:rPr>
          <w:rFonts w:ascii="Arial" w:hAnsi="Arial" w:cs="Arial"/>
          <w:b/>
          <w:sz w:val="22"/>
          <w:szCs w:val="22"/>
        </w:rPr>
        <w:t>LEY H - N° 2</w:t>
      </w:r>
      <w:r>
        <w:rPr>
          <w:rFonts w:ascii="Arial" w:hAnsi="Arial" w:cs="Arial"/>
          <w:b/>
          <w:sz w:val="22"/>
          <w:szCs w:val="22"/>
        </w:rPr>
        <w:t>.</w:t>
      </w:r>
      <w:r w:rsidRPr="00244E65">
        <w:rPr>
          <w:rFonts w:ascii="Arial" w:hAnsi="Arial" w:cs="Arial"/>
          <w:b/>
          <w:sz w:val="22"/>
          <w:szCs w:val="22"/>
        </w:rPr>
        <w:t>507</w:t>
      </w:r>
    </w:p>
    <w:p w:rsidR="00244E65" w:rsidRPr="00244E65" w:rsidRDefault="00244E65" w:rsidP="00244E6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71C3E" w:rsidRPr="00244E65" w:rsidRDefault="00A71C3E" w:rsidP="00244E6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44E65">
        <w:rPr>
          <w:rFonts w:ascii="Arial" w:hAnsi="Arial" w:cs="Arial"/>
          <w:sz w:val="22"/>
          <w:szCs w:val="22"/>
        </w:rPr>
        <w:t xml:space="preserve">Artículo 1°. - </w:t>
      </w:r>
      <w:r w:rsidRPr="00244E65">
        <w:rPr>
          <w:rFonts w:ascii="Arial" w:hAnsi="Arial" w:cs="Arial"/>
          <w:i/>
          <w:sz w:val="22"/>
          <w:szCs w:val="22"/>
        </w:rPr>
        <w:t>Objeto</w:t>
      </w:r>
      <w:r w:rsidRPr="00244E65">
        <w:rPr>
          <w:rFonts w:ascii="Arial" w:hAnsi="Arial" w:cs="Arial"/>
          <w:sz w:val="22"/>
          <w:szCs w:val="22"/>
        </w:rPr>
        <w:t xml:space="preserve"> - El Poder Ejecutivo de la Ciudad Autónoma de Buenos Aires garantiza la realización gratuita de Cirugías Reparadoras y/o Reconstrucción Mamaria (RM) Post Mastectomía a todas las mujeres que se les haya practicado en un hospital del subsector estatal una mastectomía a causa de una patología mamaria y la provisión del implante mamario y/o el sostén ortopédico de acuerdo a lo indicado en la prescripción médica.</w:t>
      </w:r>
    </w:p>
    <w:p w:rsidR="00A71C3E" w:rsidRPr="00244E65" w:rsidRDefault="00A71C3E" w:rsidP="00244E6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71C3E" w:rsidRPr="00244E65" w:rsidRDefault="00A71C3E" w:rsidP="00244E6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44E65">
        <w:rPr>
          <w:rFonts w:ascii="Arial" w:hAnsi="Arial" w:cs="Arial"/>
          <w:sz w:val="22"/>
          <w:szCs w:val="22"/>
        </w:rPr>
        <w:t xml:space="preserve">Artículo 2°.- </w:t>
      </w:r>
      <w:r w:rsidRPr="00244E65">
        <w:rPr>
          <w:rFonts w:ascii="Arial" w:hAnsi="Arial" w:cs="Arial"/>
          <w:i/>
          <w:sz w:val="22"/>
          <w:szCs w:val="22"/>
        </w:rPr>
        <w:t xml:space="preserve">Beneficiarias </w:t>
      </w:r>
      <w:r w:rsidRPr="00244E65">
        <w:rPr>
          <w:rFonts w:ascii="Arial" w:hAnsi="Arial" w:cs="Arial"/>
          <w:sz w:val="22"/>
          <w:szCs w:val="22"/>
        </w:rPr>
        <w:t>-  Para acceder a los beneficios establecidos en esta ley las mujeres deben poseer domicilio en la Ciudad Autónoma de Buenos Aires con una antigüedad mayor a dos (2) años y no poseer cobertura médica sea a través de una obra social o medicina prepaga y poseer prescripción médica expedida por el profesional tratante del efector del Subsector Estatal de Salud de la Ciudad Autónoma de Buenos Aires.</w:t>
      </w:r>
    </w:p>
    <w:p w:rsidR="00A71C3E" w:rsidRPr="00244E65" w:rsidRDefault="00A71C3E" w:rsidP="00244E6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71C3E" w:rsidRPr="00244E65" w:rsidRDefault="00A71C3E" w:rsidP="00244E6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44E65">
        <w:rPr>
          <w:rFonts w:ascii="Arial" w:hAnsi="Arial" w:cs="Arial"/>
          <w:sz w:val="22"/>
          <w:szCs w:val="22"/>
        </w:rPr>
        <w:t xml:space="preserve">Artículo 3°.- </w:t>
      </w:r>
      <w:r w:rsidRPr="00244E65">
        <w:rPr>
          <w:rFonts w:ascii="Arial" w:hAnsi="Arial" w:cs="Arial"/>
          <w:i/>
          <w:sz w:val="22"/>
          <w:szCs w:val="22"/>
        </w:rPr>
        <w:t>Reglamentación -</w:t>
      </w:r>
      <w:r w:rsidRPr="00244E65">
        <w:rPr>
          <w:rFonts w:ascii="Arial" w:hAnsi="Arial" w:cs="Arial"/>
          <w:sz w:val="22"/>
          <w:szCs w:val="22"/>
        </w:rPr>
        <w:t xml:space="preserve"> El Poder Ejecutivo reglamentará la presente ley dentro de los sesenta (60) días corridos contados a partir de la promulgación de la misma.</w:t>
      </w:r>
    </w:p>
    <w:p w:rsidR="00A71C3E" w:rsidRPr="00244E65" w:rsidRDefault="00A71C3E" w:rsidP="00244E6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71C3E" w:rsidRPr="00244E65" w:rsidRDefault="00A71C3E" w:rsidP="00244E6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44E65">
        <w:rPr>
          <w:rFonts w:ascii="Arial" w:hAnsi="Arial" w:cs="Arial"/>
          <w:sz w:val="22"/>
          <w:szCs w:val="22"/>
        </w:rPr>
        <w:t xml:space="preserve">Artículo 4°.- </w:t>
      </w:r>
      <w:r w:rsidRPr="00244E65">
        <w:rPr>
          <w:rFonts w:ascii="Arial" w:hAnsi="Arial" w:cs="Arial"/>
          <w:i/>
          <w:sz w:val="22"/>
          <w:szCs w:val="22"/>
        </w:rPr>
        <w:t xml:space="preserve">Financiamiento </w:t>
      </w:r>
      <w:r w:rsidRPr="00244E65">
        <w:rPr>
          <w:rFonts w:ascii="Arial" w:hAnsi="Arial" w:cs="Arial"/>
          <w:sz w:val="22"/>
          <w:szCs w:val="22"/>
        </w:rPr>
        <w:t>- Las erogaciones emergentes de la presente ley serán imputadas a la partida presupuestaria del ejercicio correspondiente.</w:t>
      </w:r>
    </w:p>
    <w:p w:rsidR="00A71C3E" w:rsidRPr="00244E65" w:rsidRDefault="00A71C3E" w:rsidP="00244E6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38"/>
        <w:gridCol w:w="4961"/>
      </w:tblGrid>
      <w:tr w:rsidR="0009329B" w:rsidRPr="00244E65" w:rsidTr="00D56B89">
        <w:trPr>
          <w:jc w:val="center"/>
        </w:trPr>
        <w:tc>
          <w:tcPr>
            <w:tcW w:w="9399" w:type="dxa"/>
            <w:gridSpan w:val="2"/>
            <w:vAlign w:val="center"/>
          </w:tcPr>
          <w:p w:rsidR="0009329B" w:rsidRPr="00244E65" w:rsidRDefault="00294BD0" w:rsidP="00244E6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44E65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09329B" w:rsidRPr="00244E6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66728" w:rsidRPr="00244E6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44E6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600A1" w:rsidRPr="00244E65">
              <w:rPr>
                <w:rFonts w:ascii="Arial" w:hAnsi="Arial" w:cs="Arial"/>
                <w:b/>
                <w:sz w:val="22"/>
                <w:szCs w:val="22"/>
              </w:rPr>
              <w:t>507</w:t>
            </w:r>
          </w:p>
          <w:p w:rsidR="0009329B" w:rsidRPr="00244E65" w:rsidRDefault="0009329B" w:rsidP="00244E6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44E6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44E65" w:rsidTr="00D56B89">
        <w:trPr>
          <w:trHeight w:val="543"/>
          <w:jc w:val="center"/>
        </w:trPr>
        <w:tc>
          <w:tcPr>
            <w:tcW w:w="4438" w:type="dxa"/>
            <w:vAlign w:val="center"/>
          </w:tcPr>
          <w:p w:rsidR="0009329B" w:rsidRPr="00244E65" w:rsidRDefault="0009329B" w:rsidP="00D56B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4E6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56B89">
              <w:rPr>
                <w:rFonts w:ascii="Arial" w:hAnsi="Arial" w:cs="Arial"/>
                <w:b/>
                <w:sz w:val="22"/>
              </w:rPr>
              <w:t xml:space="preserve"> </w:t>
            </w:r>
            <w:r w:rsidRPr="00244E6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961" w:type="dxa"/>
            <w:vAlign w:val="center"/>
          </w:tcPr>
          <w:p w:rsidR="0009329B" w:rsidRPr="00244E65" w:rsidRDefault="0009329B" w:rsidP="00244E6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44E6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44E65" w:rsidTr="00D56B89">
        <w:trPr>
          <w:trHeight w:val="555"/>
          <w:jc w:val="center"/>
        </w:trPr>
        <w:tc>
          <w:tcPr>
            <w:tcW w:w="9399" w:type="dxa"/>
            <w:gridSpan w:val="2"/>
            <w:vAlign w:val="center"/>
          </w:tcPr>
          <w:p w:rsidR="0009329B" w:rsidRPr="00244E65" w:rsidRDefault="00B80B90" w:rsidP="00244E6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44E6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71C3E" w:rsidRPr="00244E65">
              <w:rPr>
                <w:rFonts w:ascii="Arial" w:hAnsi="Arial" w:cs="Arial"/>
                <w:sz w:val="22"/>
                <w:szCs w:val="22"/>
              </w:rPr>
              <w:t>N° 2</w:t>
            </w:r>
            <w:r w:rsidR="005600A1" w:rsidRPr="00244E65">
              <w:rPr>
                <w:rFonts w:ascii="Arial" w:hAnsi="Arial" w:cs="Arial"/>
                <w:sz w:val="22"/>
                <w:szCs w:val="22"/>
              </w:rPr>
              <w:t>507</w:t>
            </w:r>
            <w:r w:rsidRPr="00244E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44E65" w:rsidRDefault="0009329B" w:rsidP="00244E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8"/>
        <w:gridCol w:w="3827"/>
        <w:gridCol w:w="2486"/>
      </w:tblGrid>
      <w:tr w:rsidR="0009329B" w:rsidRPr="00244E65" w:rsidTr="00D56B89">
        <w:trPr>
          <w:jc w:val="center"/>
        </w:trPr>
        <w:tc>
          <w:tcPr>
            <w:tcW w:w="9401" w:type="dxa"/>
            <w:gridSpan w:val="3"/>
            <w:vAlign w:val="center"/>
          </w:tcPr>
          <w:p w:rsidR="0009329B" w:rsidRPr="00244E65" w:rsidRDefault="00FC0678" w:rsidP="000030B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44E65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09329B" w:rsidRPr="00244E65">
              <w:rPr>
                <w:rFonts w:ascii="Arial" w:hAnsi="Arial" w:cs="Arial"/>
                <w:b/>
                <w:sz w:val="22"/>
                <w:szCs w:val="22"/>
              </w:rPr>
              <w:t xml:space="preserve">EY </w:t>
            </w:r>
            <w:r w:rsidR="00294BD0" w:rsidRPr="00244E65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244E6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66728" w:rsidRPr="00244E6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44E6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600A1" w:rsidRPr="00244E65">
              <w:rPr>
                <w:rFonts w:ascii="Arial" w:hAnsi="Arial" w:cs="Arial"/>
                <w:b/>
                <w:sz w:val="22"/>
                <w:szCs w:val="22"/>
              </w:rPr>
              <w:t>507</w:t>
            </w:r>
          </w:p>
          <w:p w:rsidR="0009329B" w:rsidRPr="00244E65" w:rsidRDefault="0009329B" w:rsidP="000030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44E6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44E65" w:rsidTr="00D56B89">
        <w:trPr>
          <w:jc w:val="center"/>
        </w:trPr>
        <w:tc>
          <w:tcPr>
            <w:tcW w:w="3088" w:type="dxa"/>
            <w:vAlign w:val="center"/>
          </w:tcPr>
          <w:p w:rsidR="0009329B" w:rsidRPr="00244E65" w:rsidRDefault="0009329B" w:rsidP="00D56B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44E6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D56B89">
              <w:rPr>
                <w:rFonts w:ascii="Arial" w:hAnsi="Arial" w:cs="Arial"/>
                <w:b/>
              </w:rPr>
              <w:t xml:space="preserve"> </w:t>
            </w:r>
            <w:r w:rsidRPr="00244E6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827" w:type="dxa"/>
            <w:vAlign w:val="center"/>
          </w:tcPr>
          <w:p w:rsidR="0009329B" w:rsidRPr="00244E65" w:rsidRDefault="0009329B" w:rsidP="00D56B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44E6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D56B89">
              <w:rPr>
                <w:rFonts w:ascii="Arial" w:hAnsi="Arial" w:cs="Arial"/>
                <w:b/>
              </w:rPr>
              <w:t xml:space="preserve"> </w:t>
            </w:r>
            <w:r w:rsidRPr="00244E65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2C12F0" w:rsidRPr="00244E65">
              <w:rPr>
                <w:rFonts w:ascii="Arial" w:hAnsi="Arial" w:cs="Arial"/>
                <w:b/>
                <w:sz w:val="22"/>
                <w:szCs w:val="22"/>
              </w:rPr>
              <w:t>Referencia (Ley 2</w:t>
            </w:r>
            <w:r w:rsidR="000030B5">
              <w:rPr>
                <w:rFonts w:ascii="Arial" w:hAnsi="Arial" w:cs="Arial"/>
                <w:b/>
                <w:sz w:val="22"/>
                <w:szCs w:val="22"/>
              </w:rPr>
              <w:t>.507</w:t>
            </w:r>
            <w:r w:rsidRPr="00244E6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486" w:type="dxa"/>
            <w:vAlign w:val="center"/>
          </w:tcPr>
          <w:p w:rsidR="0009329B" w:rsidRPr="00244E65" w:rsidRDefault="0009329B" w:rsidP="000030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44E6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44E65" w:rsidTr="00D56B89">
        <w:trPr>
          <w:jc w:val="center"/>
        </w:trPr>
        <w:tc>
          <w:tcPr>
            <w:tcW w:w="9401" w:type="dxa"/>
            <w:gridSpan w:val="3"/>
            <w:vAlign w:val="center"/>
          </w:tcPr>
          <w:p w:rsidR="00132BEA" w:rsidRPr="00244E65" w:rsidRDefault="00FC0678" w:rsidP="000030B5">
            <w:pPr>
              <w:tabs>
                <w:tab w:val="left" w:pos="1920"/>
              </w:tabs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244E6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A71C3E" w:rsidRPr="00244E65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D56B8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71C3E" w:rsidRPr="00244E65">
              <w:rPr>
                <w:rFonts w:ascii="Arial" w:hAnsi="Arial" w:cs="Arial"/>
                <w:sz w:val="22"/>
                <w:szCs w:val="22"/>
              </w:rPr>
              <w:t>2</w:t>
            </w:r>
            <w:r w:rsidR="000030B5">
              <w:rPr>
                <w:rFonts w:ascii="Arial" w:hAnsi="Arial" w:cs="Arial"/>
                <w:sz w:val="22"/>
                <w:szCs w:val="22"/>
              </w:rPr>
              <w:t>.</w:t>
            </w:r>
            <w:r w:rsidR="005600A1" w:rsidRPr="00244E65">
              <w:rPr>
                <w:rFonts w:ascii="Arial" w:hAnsi="Arial" w:cs="Arial"/>
                <w:sz w:val="22"/>
                <w:szCs w:val="22"/>
              </w:rPr>
              <w:t>507</w:t>
            </w:r>
            <w:r w:rsidRPr="00244E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44E65" w:rsidRDefault="0009329B" w:rsidP="00244E65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F914CB" w:rsidRPr="00244E65" w:rsidRDefault="00F914CB" w:rsidP="00244E6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244E65">
        <w:rPr>
          <w:rFonts w:ascii="Arial" w:hAnsi="Arial" w:cs="Arial"/>
          <w:b/>
          <w:sz w:val="22"/>
          <w:szCs w:val="22"/>
          <w:u w:val="single"/>
          <w:lang w:val="es-AR"/>
        </w:rPr>
        <w:lastRenderedPageBreak/>
        <w:t>Observaciones Generales:</w:t>
      </w:r>
    </w:p>
    <w:p w:rsidR="00B80B90" w:rsidRPr="00244E65" w:rsidRDefault="00366728" w:rsidP="00244E6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44E65">
        <w:rPr>
          <w:rFonts w:ascii="Arial" w:hAnsi="Arial" w:cs="Arial"/>
          <w:sz w:val="22"/>
          <w:szCs w:val="22"/>
          <w:lang w:val="es-AR"/>
        </w:rPr>
        <w:t xml:space="preserve">Se deja constancia que las referencias a los organismos consignados se refieren a los mencionados en las normas, o a aquellos que actualmente los hubieren sustituido en las atribuciones y funciones previstas en la presente. </w:t>
      </w:r>
    </w:p>
    <w:sectPr w:rsidR="00B80B90" w:rsidRPr="00244E65" w:rsidSect="00244E6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030B5"/>
    <w:rsid w:val="0009329B"/>
    <w:rsid w:val="00132BEA"/>
    <w:rsid w:val="00244E65"/>
    <w:rsid w:val="00294BD0"/>
    <w:rsid w:val="002C12F0"/>
    <w:rsid w:val="002D2DC8"/>
    <w:rsid w:val="00366728"/>
    <w:rsid w:val="003D4347"/>
    <w:rsid w:val="004010AD"/>
    <w:rsid w:val="00416255"/>
    <w:rsid w:val="004A7641"/>
    <w:rsid w:val="004C4DB6"/>
    <w:rsid w:val="00511FDE"/>
    <w:rsid w:val="005600A1"/>
    <w:rsid w:val="006506AC"/>
    <w:rsid w:val="006C0522"/>
    <w:rsid w:val="008D7462"/>
    <w:rsid w:val="009127C8"/>
    <w:rsid w:val="009E0014"/>
    <w:rsid w:val="009F231C"/>
    <w:rsid w:val="00A628E9"/>
    <w:rsid w:val="00A71C3E"/>
    <w:rsid w:val="00AB6371"/>
    <w:rsid w:val="00AD0010"/>
    <w:rsid w:val="00B04A21"/>
    <w:rsid w:val="00B80B90"/>
    <w:rsid w:val="00BA5B44"/>
    <w:rsid w:val="00BE16FE"/>
    <w:rsid w:val="00C67C06"/>
    <w:rsid w:val="00CD26F6"/>
    <w:rsid w:val="00CF15CE"/>
    <w:rsid w:val="00D43480"/>
    <w:rsid w:val="00D56B89"/>
    <w:rsid w:val="00E5583D"/>
    <w:rsid w:val="00F21A21"/>
    <w:rsid w:val="00F61B91"/>
    <w:rsid w:val="00F76F73"/>
    <w:rsid w:val="00F914CB"/>
    <w:rsid w:val="00F97A2B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2C12F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2014-08-29T16:35:00Z</dcterms:created>
  <dcterms:modified xsi:type="dcterms:W3CDTF">2015-10-06T15:00:00Z</dcterms:modified>
</cp:coreProperties>
</file>