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693" w:rsidRPr="000E0B13" w:rsidRDefault="003C1693" w:rsidP="000E0B13">
      <w:pPr>
        <w:rPr>
          <w:rFonts w:ascii="Arial" w:hAnsi="Arial" w:cs="Arial"/>
          <w:b/>
          <w:sz w:val="22"/>
          <w:szCs w:val="22"/>
        </w:rPr>
      </w:pPr>
      <w:r w:rsidRPr="000E0B13">
        <w:rPr>
          <w:rFonts w:ascii="Arial" w:hAnsi="Arial" w:cs="Arial"/>
          <w:b/>
          <w:sz w:val="22"/>
          <w:szCs w:val="22"/>
        </w:rPr>
        <w:t>2007-11-1498</w:t>
      </w:r>
    </w:p>
    <w:p w:rsidR="003C1693" w:rsidRPr="000E0B13" w:rsidRDefault="003C1693" w:rsidP="000E0B13">
      <w:pPr>
        <w:jc w:val="center"/>
        <w:rPr>
          <w:rFonts w:ascii="Arial" w:hAnsi="Arial" w:cs="Arial"/>
          <w:b/>
          <w:sz w:val="22"/>
          <w:szCs w:val="22"/>
        </w:rPr>
      </w:pPr>
    </w:p>
    <w:p w:rsidR="00EB4DEF" w:rsidRPr="000E0B13" w:rsidRDefault="003C1693" w:rsidP="00B3457B">
      <w:pPr>
        <w:jc w:val="center"/>
        <w:rPr>
          <w:rFonts w:ascii="Arial" w:hAnsi="Arial" w:cs="Arial"/>
          <w:b/>
          <w:bCs/>
          <w:sz w:val="22"/>
          <w:szCs w:val="22"/>
        </w:rPr>
      </w:pPr>
      <w:r w:rsidRPr="000E0B13">
        <w:rPr>
          <w:rFonts w:ascii="Arial" w:hAnsi="Arial" w:cs="Arial"/>
          <w:b/>
          <w:sz w:val="22"/>
          <w:szCs w:val="22"/>
        </w:rPr>
        <w:t>LEY I - Nº 2</w:t>
      </w:r>
      <w:r w:rsidR="000E0B13">
        <w:rPr>
          <w:rFonts w:ascii="Arial" w:hAnsi="Arial" w:cs="Arial"/>
          <w:b/>
          <w:sz w:val="22"/>
          <w:szCs w:val="22"/>
        </w:rPr>
        <w:t>.</w:t>
      </w:r>
      <w:r w:rsidRPr="000E0B13">
        <w:rPr>
          <w:rFonts w:ascii="Arial" w:hAnsi="Arial" w:cs="Arial"/>
          <w:b/>
          <w:sz w:val="22"/>
          <w:szCs w:val="22"/>
        </w:rPr>
        <w:t>475</w:t>
      </w:r>
    </w:p>
    <w:p w:rsidR="00EB4DEF" w:rsidRPr="000E0B13" w:rsidRDefault="00EB4DEF" w:rsidP="000E0B13">
      <w:pPr>
        <w:jc w:val="center"/>
        <w:rPr>
          <w:rStyle w:val="Textoennegrita"/>
          <w:rFonts w:ascii="Arial" w:hAnsi="Arial" w:cs="Arial"/>
          <w:b w:val="0"/>
          <w:color w:val="000000"/>
          <w:sz w:val="22"/>
          <w:szCs w:val="22"/>
        </w:rPr>
      </w:pPr>
    </w:p>
    <w:p w:rsidR="003C1693" w:rsidRPr="000E0B13" w:rsidRDefault="003C1693" w:rsidP="00B3457B">
      <w:pPr>
        <w:jc w:val="center"/>
        <w:rPr>
          <w:rStyle w:val="Textoennegrita"/>
          <w:rFonts w:ascii="Arial" w:hAnsi="Arial" w:cs="Arial"/>
          <w:b w:val="0"/>
          <w:color w:val="000000"/>
          <w:sz w:val="22"/>
          <w:szCs w:val="22"/>
        </w:rPr>
      </w:pPr>
      <w:r w:rsidRPr="000E0B13">
        <w:rPr>
          <w:rStyle w:val="Textoennegrita"/>
          <w:rFonts w:ascii="Arial" w:hAnsi="Arial" w:cs="Arial"/>
          <w:b w:val="0"/>
          <w:color w:val="000000"/>
          <w:sz w:val="22"/>
          <w:szCs w:val="22"/>
        </w:rPr>
        <w:t>SERVICIO DE ATENCIÓN TELEFÓNICA CON</w:t>
      </w:r>
      <w:r w:rsidR="00B3457B">
        <w:rPr>
          <w:rStyle w:val="Textoennegrita"/>
          <w:rFonts w:ascii="Arial" w:hAnsi="Arial" w:cs="Arial"/>
          <w:b w:val="0"/>
          <w:color w:val="000000"/>
          <w:sz w:val="22"/>
          <w:szCs w:val="22"/>
        </w:rPr>
        <w:t xml:space="preserve"> </w:t>
      </w:r>
      <w:r w:rsidRPr="000E0B13">
        <w:rPr>
          <w:rStyle w:val="Textoennegrita"/>
          <w:rFonts w:ascii="Arial" w:hAnsi="Arial" w:cs="Arial"/>
          <w:b w:val="0"/>
          <w:color w:val="000000"/>
          <w:sz w:val="22"/>
          <w:szCs w:val="22"/>
        </w:rPr>
        <w:t>OPERADORES PARA EMPRESAS DE SERVICIOS</w:t>
      </w:r>
    </w:p>
    <w:p w:rsidR="00EB4DEF" w:rsidRPr="000E0B13" w:rsidRDefault="00EB4DEF" w:rsidP="000E0B13">
      <w:pPr>
        <w:jc w:val="center"/>
        <w:rPr>
          <w:rFonts w:ascii="Arial" w:hAnsi="Arial" w:cs="Arial"/>
          <w:sz w:val="22"/>
          <w:szCs w:val="22"/>
        </w:rPr>
      </w:pPr>
    </w:p>
    <w:p w:rsidR="003C1693" w:rsidRPr="000E0B13" w:rsidRDefault="003C1693" w:rsidP="000E0B13">
      <w:pPr>
        <w:jc w:val="both"/>
        <w:rPr>
          <w:rFonts w:ascii="Arial" w:hAnsi="Arial" w:cs="Arial"/>
          <w:color w:val="000000"/>
          <w:sz w:val="22"/>
          <w:szCs w:val="22"/>
        </w:rPr>
      </w:pPr>
      <w:r w:rsidRPr="000E0B13">
        <w:rPr>
          <w:rStyle w:val="Textoennegrita"/>
          <w:rFonts w:ascii="Arial" w:hAnsi="Arial" w:cs="Arial"/>
          <w:b w:val="0"/>
          <w:color w:val="000000"/>
          <w:sz w:val="22"/>
          <w:szCs w:val="22"/>
        </w:rPr>
        <w:t>Artículo 1°.-</w:t>
      </w:r>
      <w:r w:rsidRPr="000E0B13">
        <w:rPr>
          <w:rFonts w:ascii="Arial" w:hAnsi="Arial" w:cs="Arial"/>
          <w:color w:val="000000"/>
          <w:sz w:val="22"/>
          <w:szCs w:val="22"/>
        </w:rPr>
        <w:t xml:space="preserve"> </w:t>
      </w:r>
      <w:r w:rsidRPr="000E0B13">
        <w:rPr>
          <w:rFonts w:ascii="Arial" w:hAnsi="Arial" w:cs="Arial"/>
          <w:i/>
          <w:color w:val="000000"/>
          <w:sz w:val="22"/>
          <w:szCs w:val="22"/>
        </w:rPr>
        <w:t>Objeto</w:t>
      </w:r>
      <w:r w:rsidRPr="000E0B13">
        <w:rPr>
          <w:rFonts w:ascii="Arial" w:hAnsi="Arial" w:cs="Arial"/>
          <w:color w:val="000000"/>
          <w:sz w:val="22"/>
          <w:szCs w:val="22"/>
        </w:rPr>
        <w:t>.</w:t>
      </w:r>
      <w:r w:rsidR="00D56598" w:rsidRPr="000E0B13">
        <w:rPr>
          <w:rFonts w:ascii="Arial" w:hAnsi="Arial" w:cs="Arial"/>
          <w:color w:val="000000"/>
          <w:sz w:val="22"/>
          <w:szCs w:val="22"/>
        </w:rPr>
        <w:t>-</w:t>
      </w:r>
      <w:r w:rsidRPr="000E0B13">
        <w:rPr>
          <w:rFonts w:ascii="Arial" w:hAnsi="Arial" w:cs="Arial"/>
          <w:color w:val="000000"/>
          <w:sz w:val="22"/>
          <w:szCs w:val="22"/>
        </w:rPr>
        <w:t xml:space="preserve"> La presente ley regula la prestación del servicio de atención a usuarios para empresas prestatarias de servicios.</w:t>
      </w:r>
    </w:p>
    <w:p w:rsidR="003C1693" w:rsidRPr="000E0B13" w:rsidRDefault="003C1693" w:rsidP="000E0B13">
      <w:pPr>
        <w:jc w:val="both"/>
        <w:rPr>
          <w:rFonts w:ascii="Arial" w:hAnsi="Arial" w:cs="Arial"/>
          <w:color w:val="000000"/>
          <w:sz w:val="22"/>
          <w:szCs w:val="22"/>
        </w:rPr>
      </w:pPr>
    </w:p>
    <w:p w:rsidR="003C1693" w:rsidRPr="000E0B13" w:rsidRDefault="003C1693" w:rsidP="000E0B13">
      <w:pPr>
        <w:jc w:val="both"/>
        <w:rPr>
          <w:rFonts w:ascii="Arial" w:hAnsi="Arial" w:cs="Arial"/>
          <w:color w:val="000000"/>
          <w:sz w:val="22"/>
          <w:szCs w:val="22"/>
        </w:rPr>
      </w:pPr>
      <w:r w:rsidRPr="000E0B13">
        <w:rPr>
          <w:rStyle w:val="Textoennegrita"/>
          <w:rFonts w:ascii="Arial" w:hAnsi="Arial" w:cs="Arial"/>
          <w:b w:val="0"/>
          <w:color w:val="000000"/>
          <w:sz w:val="22"/>
          <w:szCs w:val="22"/>
        </w:rPr>
        <w:t>Artículo 2°.</w:t>
      </w:r>
      <w:r w:rsidRPr="000E0B13">
        <w:rPr>
          <w:rFonts w:ascii="Arial" w:hAnsi="Arial" w:cs="Arial"/>
          <w:color w:val="000000"/>
          <w:sz w:val="22"/>
          <w:szCs w:val="22"/>
        </w:rPr>
        <w:t xml:space="preserve">- </w:t>
      </w:r>
      <w:r w:rsidRPr="000E0B13">
        <w:rPr>
          <w:rFonts w:ascii="Arial" w:hAnsi="Arial" w:cs="Arial"/>
          <w:i/>
          <w:color w:val="000000"/>
          <w:sz w:val="22"/>
          <w:szCs w:val="22"/>
        </w:rPr>
        <w:t>Definiciones</w:t>
      </w:r>
      <w:r w:rsidRPr="000E0B13">
        <w:rPr>
          <w:rFonts w:ascii="Arial" w:hAnsi="Arial" w:cs="Arial"/>
          <w:color w:val="000000"/>
          <w:sz w:val="22"/>
          <w:szCs w:val="22"/>
        </w:rPr>
        <w:t>.</w:t>
      </w:r>
      <w:r w:rsidR="00D56598" w:rsidRPr="000E0B13">
        <w:rPr>
          <w:rFonts w:ascii="Arial" w:hAnsi="Arial" w:cs="Arial"/>
          <w:color w:val="000000"/>
          <w:sz w:val="22"/>
          <w:szCs w:val="22"/>
        </w:rPr>
        <w:t>-</w:t>
      </w:r>
      <w:r w:rsidRPr="000E0B13">
        <w:rPr>
          <w:rFonts w:ascii="Arial" w:hAnsi="Arial" w:cs="Arial"/>
          <w:color w:val="000000"/>
          <w:sz w:val="22"/>
          <w:szCs w:val="22"/>
        </w:rPr>
        <w:t xml:space="preserve"> A los fines de esta ley se establecen las siguientes definiciones:</w:t>
      </w:r>
    </w:p>
    <w:p w:rsidR="003C1693" w:rsidRPr="00B3457B" w:rsidRDefault="003C1693" w:rsidP="00B3457B">
      <w:pPr>
        <w:pStyle w:val="Prrafodelista"/>
        <w:numPr>
          <w:ilvl w:val="0"/>
          <w:numId w:val="4"/>
        </w:numPr>
        <w:ind w:left="567" w:hanging="567"/>
        <w:jc w:val="both"/>
        <w:rPr>
          <w:rFonts w:ascii="Arial" w:hAnsi="Arial" w:cs="Arial"/>
          <w:color w:val="000000"/>
          <w:sz w:val="22"/>
          <w:szCs w:val="22"/>
        </w:rPr>
      </w:pPr>
      <w:r w:rsidRPr="00B3457B">
        <w:rPr>
          <w:rFonts w:ascii="Arial" w:hAnsi="Arial" w:cs="Arial"/>
          <w:color w:val="000000"/>
          <w:sz w:val="22"/>
          <w:szCs w:val="22"/>
        </w:rPr>
        <w:t xml:space="preserve">Servicio de Atención Telefónica: es la actividad destinada a brindar información, evacuar consultas o </w:t>
      </w:r>
      <w:proofErr w:type="spellStart"/>
      <w:r w:rsidRPr="00B3457B">
        <w:rPr>
          <w:rFonts w:ascii="Arial" w:hAnsi="Arial" w:cs="Arial"/>
          <w:color w:val="000000"/>
          <w:sz w:val="22"/>
          <w:szCs w:val="22"/>
        </w:rPr>
        <w:t>recepcionar</w:t>
      </w:r>
      <w:proofErr w:type="spellEnd"/>
      <w:r w:rsidRPr="00B3457B">
        <w:rPr>
          <w:rFonts w:ascii="Arial" w:hAnsi="Arial" w:cs="Arial"/>
          <w:color w:val="000000"/>
          <w:sz w:val="22"/>
          <w:szCs w:val="22"/>
        </w:rPr>
        <w:t xml:space="preserve"> reclamos por medio de una comunicación telefónica.</w:t>
      </w:r>
    </w:p>
    <w:p w:rsidR="003C1693" w:rsidRPr="00B3457B" w:rsidRDefault="003C1693" w:rsidP="00B3457B">
      <w:pPr>
        <w:pStyle w:val="Prrafodelista"/>
        <w:numPr>
          <w:ilvl w:val="0"/>
          <w:numId w:val="4"/>
        </w:numPr>
        <w:ind w:left="567" w:hanging="567"/>
        <w:jc w:val="both"/>
        <w:rPr>
          <w:rFonts w:ascii="Arial" w:hAnsi="Arial" w:cs="Arial"/>
          <w:color w:val="000000"/>
          <w:sz w:val="22"/>
          <w:szCs w:val="22"/>
        </w:rPr>
      </w:pPr>
      <w:r w:rsidRPr="00B3457B">
        <w:rPr>
          <w:rFonts w:ascii="Arial" w:hAnsi="Arial" w:cs="Arial"/>
          <w:color w:val="000000"/>
          <w:sz w:val="22"/>
          <w:szCs w:val="22"/>
        </w:rPr>
        <w:t xml:space="preserve">Pre-atendedor: es cualquier sistema que emite automáticamente mensajes grabados con diversas opciones, derivando así las llamadas entrantes. </w:t>
      </w:r>
    </w:p>
    <w:p w:rsidR="005801EB" w:rsidRDefault="005801EB" w:rsidP="000E0B13">
      <w:pPr>
        <w:jc w:val="both"/>
        <w:rPr>
          <w:rStyle w:val="Textoennegrita"/>
          <w:rFonts w:ascii="Arial" w:hAnsi="Arial" w:cs="Arial"/>
          <w:b w:val="0"/>
          <w:color w:val="000000"/>
          <w:sz w:val="22"/>
          <w:szCs w:val="22"/>
        </w:rPr>
      </w:pPr>
    </w:p>
    <w:p w:rsidR="003C1693" w:rsidRPr="000E0B13" w:rsidRDefault="003C1693" w:rsidP="000E0B13">
      <w:pPr>
        <w:jc w:val="both"/>
        <w:rPr>
          <w:rFonts w:ascii="Arial" w:hAnsi="Arial" w:cs="Arial"/>
          <w:sz w:val="22"/>
          <w:szCs w:val="22"/>
        </w:rPr>
      </w:pPr>
      <w:r w:rsidRPr="000E0B13">
        <w:rPr>
          <w:rStyle w:val="Textoennegrita"/>
          <w:rFonts w:ascii="Arial" w:hAnsi="Arial" w:cs="Arial"/>
          <w:b w:val="0"/>
          <w:color w:val="000000"/>
          <w:sz w:val="22"/>
          <w:szCs w:val="22"/>
        </w:rPr>
        <w:t xml:space="preserve">Artículo 3°.- </w:t>
      </w:r>
      <w:r w:rsidRPr="000E0B13">
        <w:rPr>
          <w:rFonts w:ascii="Arial" w:hAnsi="Arial" w:cs="Arial"/>
          <w:i/>
          <w:color w:val="000000"/>
          <w:sz w:val="22"/>
          <w:szCs w:val="22"/>
        </w:rPr>
        <w:t>Servicio de Atención Telefónica</w:t>
      </w:r>
      <w:r w:rsidRPr="000E0B13">
        <w:rPr>
          <w:rFonts w:ascii="Arial" w:hAnsi="Arial" w:cs="Arial"/>
          <w:color w:val="000000"/>
          <w:sz w:val="22"/>
          <w:szCs w:val="22"/>
        </w:rPr>
        <w:t>.</w:t>
      </w:r>
      <w:r w:rsidR="00D56598" w:rsidRPr="000E0B13">
        <w:rPr>
          <w:rFonts w:ascii="Arial" w:hAnsi="Arial" w:cs="Arial"/>
          <w:color w:val="000000"/>
          <w:sz w:val="22"/>
          <w:szCs w:val="22"/>
        </w:rPr>
        <w:t>-</w:t>
      </w:r>
      <w:r w:rsidRPr="000E0B13">
        <w:rPr>
          <w:rFonts w:ascii="Arial" w:hAnsi="Arial" w:cs="Arial"/>
          <w:color w:val="000000"/>
          <w:sz w:val="22"/>
          <w:szCs w:val="22"/>
        </w:rPr>
        <w:t xml:space="preserve"> Las empresas prestatarias de servicios, públicos o privados, que operen en el ámbito de la Ciudad Autónoma de Buenos Aires, deben contar con un servicio de atención telefónica que, como mínimo, posea un operador/a que, de manera personalizada, evacue las consultas y/o reclamos de los usuarios y/o consumidores.</w:t>
      </w:r>
    </w:p>
    <w:p w:rsidR="003C1693" w:rsidRPr="000E0B13" w:rsidRDefault="003C1693" w:rsidP="000E0B13">
      <w:pPr>
        <w:jc w:val="both"/>
        <w:rPr>
          <w:rStyle w:val="Textoennegrita"/>
          <w:rFonts w:ascii="Arial" w:hAnsi="Arial" w:cs="Arial"/>
          <w:b w:val="0"/>
          <w:sz w:val="22"/>
          <w:szCs w:val="22"/>
        </w:rPr>
      </w:pPr>
    </w:p>
    <w:p w:rsidR="003C1693" w:rsidRPr="000E0B13" w:rsidRDefault="003C1693" w:rsidP="000E0B13">
      <w:pPr>
        <w:jc w:val="both"/>
        <w:rPr>
          <w:rFonts w:ascii="Arial" w:hAnsi="Arial" w:cs="Arial"/>
          <w:sz w:val="22"/>
          <w:szCs w:val="22"/>
        </w:rPr>
      </w:pPr>
      <w:r w:rsidRPr="000E0B13">
        <w:rPr>
          <w:rStyle w:val="Textoennegrita"/>
          <w:rFonts w:ascii="Arial" w:hAnsi="Arial" w:cs="Arial"/>
          <w:b w:val="0"/>
          <w:color w:val="000000"/>
          <w:sz w:val="22"/>
          <w:szCs w:val="22"/>
        </w:rPr>
        <w:t>Artículo 4°.</w:t>
      </w:r>
      <w:r w:rsidRPr="000E0B13">
        <w:rPr>
          <w:rFonts w:ascii="Arial" w:hAnsi="Arial" w:cs="Arial"/>
          <w:color w:val="000000"/>
          <w:sz w:val="22"/>
          <w:szCs w:val="22"/>
        </w:rPr>
        <w:t xml:space="preserve">- </w:t>
      </w:r>
      <w:r w:rsidRPr="000E0B13">
        <w:rPr>
          <w:rFonts w:ascii="Arial" w:hAnsi="Arial" w:cs="Arial"/>
          <w:i/>
          <w:color w:val="000000"/>
          <w:sz w:val="22"/>
          <w:szCs w:val="22"/>
        </w:rPr>
        <w:t>Exclusión.</w:t>
      </w:r>
      <w:r w:rsidR="00D56598" w:rsidRPr="000E0B13">
        <w:rPr>
          <w:rFonts w:ascii="Arial" w:hAnsi="Arial" w:cs="Arial"/>
          <w:i/>
          <w:color w:val="000000"/>
          <w:sz w:val="22"/>
          <w:szCs w:val="22"/>
        </w:rPr>
        <w:t>-</w:t>
      </w:r>
      <w:r w:rsidRPr="000E0B13">
        <w:rPr>
          <w:rFonts w:ascii="Arial" w:hAnsi="Arial" w:cs="Arial"/>
          <w:color w:val="000000"/>
          <w:sz w:val="22"/>
          <w:szCs w:val="22"/>
        </w:rPr>
        <w:t xml:space="preserve"> Quedan excluidas de lo normado en la presente ley, todas las empresas que por sus características estén comprendidas dentro de las definiciones que, para Microempresa, Pequeña Empresa y Mediana Empresa, establece la Subsecretaría de la Pequeña y Mediana Empresa y Desarrollo Regional, de acuerdo a lo normado por la Ley Nacional N° 24.467 # (B.O. N° 28.112), su modificatoria la Ley Nacional N° 25.300 # (B.O. N° 29.478), sus respectivos decretos reglamentarios y disposiciones complementarias.</w:t>
      </w:r>
    </w:p>
    <w:p w:rsidR="003C1693" w:rsidRPr="000E0B13" w:rsidRDefault="003C1693" w:rsidP="000E0B13">
      <w:pPr>
        <w:jc w:val="both"/>
        <w:rPr>
          <w:rStyle w:val="Textoennegrita"/>
          <w:rFonts w:ascii="Arial" w:hAnsi="Arial" w:cs="Arial"/>
          <w:b w:val="0"/>
          <w:sz w:val="22"/>
          <w:szCs w:val="22"/>
        </w:rPr>
      </w:pPr>
    </w:p>
    <w:p w:rsidR="003C1693" w:rsidRPr="000E0B13" w:rsidRDefault="003C1693" w:rsidP="000E0B13">
      <w:pPr>
        <w:jc w:val="both"/>
        <w:rPr>
          <w:rFonts w:ascii="Arial" w:hAnsi="Arial" w:cs="Arial"/>
          <w:sz w:val="22"/>
          <w:szCs w:val="22"/>
        </w:rPr>
      </w:pPr>
      <w:r w:rsidRPr="000E0B13">
        <w:rPr>
          <w:rStyle w:val="Textoennegrita"/>
          <w:rFonts w:ascii="Arial" w:hAnsi="Arial" w:cs="Arial"/>
          <w:b w:val="0"/>
          <w:color w:val="000000"/>
          <w:sz w:val="22"/>
          <w:szCs w:val="22"/>
        </w:rPr>
        <w:t>Artículo 5°.</w:t>
      </w:r>
      <w:r w:rsidRPr="000E0B13">
        <w:rPr>
          <w:rFonts w:ascii="Arial" w:hAnsi="Arial" w:cs="Arial"/>
          <w:color w:val="000000"/>
          <w:sz w:val="22"/>
          <w:szCs w:val="22"/>
        </w:rPr>
        <w:t xml:space="preserve">- </w:t>
      </w:r>
      <w:r w:rsidRPr="000E0B13">
        <w:rPr>
          <w:rFonts w:ascii="Arial" w:hAnsi="Arial" w:cs="Arial"/>
          <w:i/>
          <w:color w:val="000000"/>
          <w:sz w:val="22"/>
          <w:szCs w:val="22"/>
        </w:rPr>
        <w:t>Prioridad.</w:t>
      </w:r>
      <w:r w:rsidR="00D56598" w:rsidRPr="000E0B13">
        <w:rPr>
          <w:rFonts w:ascii="Arial" w:hAnsi="Arial" w:cs="Arial"/>
          <w:i/>
          <w:color w:val="000000"/>
          <w:sz w:val="22"/>
          <w:szCs w:val="22"/>
        </w:rPr>
        <w:t>-</w:t>
      </w:r>
      <w:r w:rsidRPr="000E0B13">
        <w:rPr>
          <w:rFonts w:ascii="Arial" w:hAnsi="Arial" w:cs="Arial"/>
          <w:color w:val="000000"/>
          <w:sz w:val="22"/>
          <w:szCs w:val="22"/>
        </w:rPr>
        <w:t xml:space="preserve"> Los sujetos comprendidos por la presente ley que cuenten, dentro de su servicio de atención telefónica, con un sistema con pre-atendedor, deben colocar la opción de hablar con un/a operador/a dentro de las opciones del primer menú.</w:t>
      </w:r>
    </w:p>
    <w:p w:rsidR="003C1693" w:rsidRPr="000E0B13" w:rsidRDefault="003C1693" w:rsidP="000E0B13">
      <w:pPr>
        <w:jc w:val="both"/>
        <w:rPr>
          <w:rStyle w:val="Textoennegrita"/>
          <w:rFonts w:ascii="Arial" w:hAnsi="Arial" w:cs="Arial"/>
          <w:b w:val="0"/>
          <w:sz w:val="22"/>
          <w:szCs w:val="22"/>
        </w:rPr>
      </w:pPr>
    </w:p>
    <w:p w:rsidR="003C1693" w:rsidRPr="000E0B13" w:rsidRDefault="003C1693" w:rsidP="000E0B13">
      <w:pPr>
        <w:jc w:val="both"/>
        <w:rPr>
          <w:rFonts w:ascii="Arial" w:hAnsi="Arial" w:cs="Arial"/>
          <w:sz w:val="22"/>
          <w:szCs w:val="22"/>
        </w:rPr>
      </w:pPr>
      <w:r w:rsidRPr="000E0B13">
        <w:rPr>
          <w:rStyle w:val="Textoennegrita"/>
          <w:rFonts w:ascii="Arial" w:hAnsi="Arial" w:cs="Arial"/>
          <w:b w:val="0"/>
          <w:color w:val="000000"/>
          <w:sz w:val="22"/>
          <w:szCs w:val="22"/>
        </w:rPr>
        <w:t>Artículo 6°.</w:t>
      </w:r>
      <w:r w:rsidRPr="000E0B13">
        <w:rPr>
          <w:rFonts w:ascii="Arial" w:hAnsi="Arial" w:cs="Arial"/>
          <w:color w:val="000000"/>
          <w:sz w:val="22"/>
          <w:szCs w:val="22"/>
        </w:rPr>
        <w:t xml:space="preserve">- </w:t>
      </w:r>
      <w:r w:rsidRPr="000E0B13">
        <w:rPr>
          <w:rFonts w:ascii="Arial" w:hAnsi="Arial" w:cs="Arial"/>
          <w:i/>
          <w:color w:val="000000"/>
          <w:sz w:val="22"/>
          <w:szCs w:val="22"/>
        </w:rPr>
        <w:t>Operadores</w:t>
      </w:r>
      <w:r w:rsidRPr="000E0B13">
        <w:rPr>
          <w:rFonts w:ascii="Arial" w:hAnsi="Arial" w:cs="Arial"/>
          <w:color w:val="000000"/>
          <w:sz w:val="22"/>
          <w:szCs w:val="22"/>
        </w:rPr>
        <w:t>.</w:t>
      </w:r>
      <w:r w:rsidR="00D56598" w:rsidRPr="000E0B13">
        <w:rPr>
          <w:rFonts w:ascii="Arial" w:hAnsi="Arial" w:cs="Arial"/>
          <w:color w:val="000000"/>
          <w:sz w:val="22"/>
          <w:szCs w:val="22"/>
        </w:rPr>
        <w:t>-</w:t>
      </w:r>
      <w:r w:rsidRPr="000E0B13">
        <w:rPr>
          <w:rFonts w:ascii="Arial" w:hAnsi="Arial" w:cs="Arial"/>
          <w:color w:val="000000"/>
          <w:sz w:val="22"/>
          <w:szCs w:val="22"/>
        </w:rPr>
        <w:t xml:space="preserve"> Los operadores/as, mencionados/as en el artículo 3° deben ser personas físicas y deben identificarse al atender el llamado telefónico con su nombre, apellido y, en caso de poseerlo, con su correspondiente número de legajo o de identificación. También deben informar a los </w:t>
      </w:r>
      <w:r w:rsidRPr="000E0B13">
        <w:rPr>
          <w:rFonts w:ascii="Arial" w:hAnsi="Arial" w:cs="Arial"/>
          <w:color w:val="000000"/>
          <w:sz w:val="22"/>
          <w:szCs w:val="22"/>
        </w:rPr>
        <w:lastRenderedPageBreak/>
        <w:t>consumidores, en carácter obligatorio, la dirección y horarios de la empresa donde podrán llevar personalmente los reclamos y/o ser atendidos en forma personalizada.</w:t>
      </w:r>
    </w:p>
    <w:p w:rsidR="003C1693" w:rsidRPr="000E0B13" w:rsidRDefault="003C1693" w:rsidP="000E0B13">
      <w:pPr>
        <w:jc w:val="both"/>
        <w:rPr>
          <w:rStyle w:val="Textoennegrita"/>
          <w:rFonts w:ascii="Arial" w:hAnsi="Arial" w:cs="Arial"/>
          <w:b w:val="0"/>
          <w:sz w:val="22"/>
          <w:szCs w:val="22"/>
        </w:rPr>
      </w:pPr>
    </w:p>
    <w:p w:rsidR="003C1693" w:rsidRPr="000E0B13" w:rsidRDefault="003C1693" w:rsidP="000E0B13">
      <w:pPr>
        <w:jc w:val="both"/>
        <w:rPr>
          <w:rFonts w:ascii="Arial" w:hAnsi="Arial" w:cs="Arial"/>
          <w:sz w:val="22"/>
          <w:szCs w:val="22"/>
        </w:rPr>
      </w:pPr>
      <w:r w:rsidRPr="000E0B13">
        <w:rPr>
          <w:rStyle w:val="Textoennegrita"/>
          <w:rFonts w:ascii="Arial" w:hAnsi="Arial" w:cs="Arial"/>
          <w:b w:val="0"/>
          <w:color w:val="000000"/>
          <w:sz w:val="22"/>
          <w:szCs w:val="22"/>
        </w:rPr>
        <w:t>Artículo 7°.</w:t>
      </w:r>
      <w:r w:rsidRPr="000E0B13">
        <w:rPr>
          <w:rFonts w:ascii="Arial" w:hAnsi="Arial" w:cs="Arial"/>
          <w:color w:val="000000"/>
          <w:sz w:val="22"/>
          <w:szCs w:val="22"/>
        </w:rPr>
        <w:t xml:space="preserve">- </w:t>
      </w:r>
      <w:r w:rsidRPr="000E0B13">
        <w:rPr>
          <w:rFonts w:ascii="Arial" w:hAnsi="Arial" w:cs="Arial"/>
          <w:i/>
          <w:color w:val="000000"/>
          <w:sz w:val="22"/>
          <w:szCs w:val="22"/>
        </w:rPr>
        <w:t>Teléfono Gratuito y Dirección de Correo Electrónico</w:t>
      </w:r>
      <w:r w:rsidRPr="000E0B13">
        <w:rPr>
          <w:rFonts w:ascii="Arial" w:hAnsi="Arial" w:cs="Arial"/>
          <w:color w:val="000000"/>
          <w:sz w:val="22"/>
          <w:szCs w:val="22"/>
        </w:rPr>
        <w:t>.</w:t>
      </w:r>
      <w:r w:rsidR="00D56598" w:rsidRPr="000E0B13">
        <w:rPr>
          <w:rFonts w:ascii="Arial" w:hAnsi="Arial" w:cs="Arial"/>
          <w:color w:val="000000"/>
          <w:sz w:val="22"/>
          <w:szCs w:val="22"/>
        </w:rPr>
        <w:t>-</w:t>
      </w:r>
      <w:r w:rsidRPr="000E0B13">
        <w:rPr>
          <w:rFonts w:ascii="Arial" w:hAnsi="Arial" w:cs="Arial"/>
          <w:color w:val="000000"/>
          <w:sz w:val="22"/>
          <w:szCs w:val="22"/>
        </w:rPr>
        <w:t xml:space="preserve"> Los sujetos comprendidos por la presente ley deben suministrar un número telefónico gratuito (servicio de cobro revertido automático, línea 0800 ó similar). Asimismo deben contar con un servicio de respuesta a consultas y/o reclamos por correo electrónico. Los reclamos y/o consultas realizadas por los usuarios a través del correo electrónico deben ser evacuados dentro de los quince (15) días de recibidos los mismos.</w:t>
      </w:r>
    </w:p>
    <w:p w:rsidR="003C1693" w:rsidRPr="000E0B13" w:rsidRDefault="003C1693" w:rsidP="000E0B13">
      <w:pPr>
        <w:jc w:val="both"/>
        <w:rPr>
          <w:rStyle w:val="Textoennegrita"/>
          <w:rFonts w:ascii="Arial" w:hAnsi="Arial" w:cs="Arial"/>
          <w:b w:val="0"/>
          <w:sz w:val="22"/>
          <w:szCs w:val="22"/>
        </w:rPr>
      </w:pPr>
    </w:p>
    <w:p w:rsidR="003C1693" w:rsidRPr="000E0B13" w:rsidRDefault="003C1693" w:rsidP="000E0B13">
      <w:pPr>
        <w:jc w:val="both"/>
        <w:rPr>
          <w:rFonts w:ascii="Arial" w:hAnsi="Arial" w:cs="Arial"/>
          <w:sz w:val="22"/>
          <w:szCs w:val="22"/>
        </w:rPr>
      </w:pPr>
      <w:r w:rsidRPr="000E0B13">
        <w:rPr>
          <w:rStyle w:val="Textoennegrita"/>
          <w:rFonts w:ascii="Arial" w:hAnsi="Arial" w:cs="Arial"/>
          <w:b w:val="0"/>
          <w:color w:val="000000"/>
          <w:sz w:val="22"/>
          <w:szCs w:val="22"/>
        </w:rPr>
        <w:t>Artículo 8°.</w:t>
      </w:r>
      <w:r w:rsidRPr="000E0B13">
        <w:rPr>
          <w:rFonts w:ascii="Arial" w:hAnsi="Arial" w:cs="Arial"/>
          <w:color w:val="000000"/>
          <w:sz w:val="22"/>
          <w:szCs w:val="22"/>
        </w:rPr>
        <w:t xml:space="preserve">- </w:t>
      </w:r>
      <w:r w:rsidRPr="000E0B13">
        <w:rPr>
          <w:rFonts w:ascii="Arial" w:hAnsi="Arial" w:cs="Arial"/>
          <w:i/>
          <w:color w:val="000000"/>
          <w:sz w:val="22"/>
          <w:szCs w:val="22"/>
        </w:rPr>
        <w:t>Publicación</w:t>
      </w:r>
      <w:r w:rsidRPr="000E0B13">
        <w:rPr>
          <w:rFonts w:ascii="Arial" w:hAnsi="Arial" w:cs="Arial"/>
          <w:color w:val="000000"/>
          <w:sz w:val="22"/>
          <w:szCs w:val="22"/>
        </w:rPr>
        <w:t>.</w:t>
      </w:r>
      <w:r w:rsidR="00D56598" w:rsidRPr="000E0B13">
        <w:rPr>
          <w:rFonts w:ascii="Arial" w:hAnsi="Arial" w:cs="Arial"/>
          <w:color w:val="000000"/>
          <w:sz w:val="22"/>
          <w:szCs w:val="22"/>
        </w:rPr>
        <w:t>-</w:t>
      </w:r>
      <w:r w:rsidRPr="000E0B13">
        <w:rPr>
          <w:rFonts w:ascii="Arial" w:hAnsi="Arial" w:cs="Arial"/>
          <w:color w:val="000000"/>
          <w:sz w:val="22"/>
          <w:szCs w:val="22"/>
        </w:rPr>
        <w:t xml:space="preserve"> El teléfono gratuito y la dirección de correo electrónico que deben ser provistos obligatoriamente conforme lo establecido en el artículo 7° de la presente ley, deben estar especificados tanto en las facturas como en los portales de internet de los sujetos comprendidos.</w:t>
      </w:r>
    </w:p>
    <w:p w:rsidR="003C1693" w:rsidRPr="000E0B13" w:rsidRDefault="003C1693" w:rsidP="000E0B13">
      <w:pPr>
        <w:jc w:val="both"/>
        <w:rPr>
          <w:rStyle w:val="Textoennegrita"/>
          <w:rFonts w:ascii="Arial" w:hAnsi="Arial" w:cs="Arial"/>
          <w:b w:val="0"/>
          <w:sz w:val="22"/>
          <w:szCs w:val="22"/>
        </w:rPr>
      </w:pPr>
    </w:p>
    <w:p w:rsidR="003C1693" w:rsidRPr="000E0B13" w:rsidRDefault="003C1693" w:rsidP="000E0B13">
      <w:pPr>
        <w:jc w:val="both"/>
        <w:rPr>
          <w:rFonts w:ascii="Arial" w:hAnsi="Arial" w:cs="Arial"/>
          <w:sz w:val="22"/>
          <w:szCs w:val="22"/>
        </w:rPr>
      </w:pPr>
      <w:r w:rsidRPr="000E0B13">
        <w:rPr>
          <w:rStyle w:val="Textoennegrita"/>
          <w:rFonts w:ascii="Arial" w:hAnsi="Arial" w:cs="Arial"/>
          <w:b w:val="0"/>
          <w:color w:val="000000"/>
          <w:sz w:val="22"/>
          <w:szCs w:val="22"/>
        </w:rPr>
        <w:t>Artículo 9°.</w:t>
      </w:r>
      <w:r w:rsidRPr="000E0B13">
        <w:rPr>
          <w:rFonts w:ascii="Arial" w:hAnsi="Arial" w:cs="Arial"/>
          <w:color w:val="000000"/>
          <w:sz w:val="22"/>
          <w:szCs w:val="22"/>
        </w:rPr>
        <w:t xml:space="preserve">- </w:t>
      </w:r>
      <w:r w:rsidRPr="000E0B13">
        <w:rPr>
          <w:rFonts w:ascii="Arial" w:hAnsi="Arial" w:cs="Arial"/>
          <w:i/>
          <w:color w:val="000000"/>
          <w:sz w:val="22"/>
          <w:szCs w:val="22"/>
        </w:rPr>
        <w:t>Autoridad de Aplicación</w:t>
      </w:r>
      <w:r w:rsidRPr="000E0B13">
        <w:rPr>
          <w:rFonts w:ascii="Arial" w:hAnsi="Arial" w:cs="Arial"/>
          <w:color w:val="000000"/>
          <w:sz w:val="22"/>
          <w:szCs w:val="22"/>
        </w:rPr>
        <w:t>.</w:t>
      </w:r>
      <w:r w:rsidR="00D56598" w:rsidRPr="000E0B13">
        <w:rPr>
          <w:rFonts w:ascii="Arial" w:hAnsi="Arial" w:cs="Arial"/>
          <w:color w:val="000000"/>
          <w:sz w:val="22"/>
          <w:szCs w:val="22"/>
        </w:rPr>
        <w:t>-</w:t>
      </w:r>
      <w:r w:rsidRPr="000E0B13">
        <w:rPr>
          <w:rFonts w:ascii="Arial" w:hAnsi="Arial" w:cs="Arial"/>
          <w:color w:val="000000"/>
          <w:sz w:val="22"/>
          <w:szCs w:val="22"/>
        </w:rPr>
        <w:t xml:space="preserve"> La Dirección General de Defensa y Protección al Consumidor u organismo que en el futuro la reemplace, es la autoridad de aplicación de la presente ley.</w:t>
      </w:r>
    </w:p>
    <w:p w:rsidR="003C1693" w:rsidRPr="000E0B13" w:rsidRDefault="003C1693" w:rsidP="000E0B13">
      <w:pPr>
        <w:jc w:val="both"/>
        <w:rPr>
          <w:rStyle w:val="Textoennegrita"/>
          <w:rFonts w:ascii="Arial" w:hAnsi="Arial" w:cs="Arial"/>
          <w:b w:val="0"/>
          <w:sz w:val="22"/>
          <w:szCs w:val="22"/>
        </w:rPr>
      </w:pPr>
    </w:p>
    <w:p w:rsidR="003C1693" w:rsidRPr="000E0B13" w:rsidRDefault="003C1693" w:rsidP="000E0B13">
      <w:pPr>
        <w:jc w:val="both"/>
        <w:rPr>
          <w:rFonts w:ascii="Arial" w:hAnsi="Arial" w:cs="Arial"/>
          <w:sz w:val="22"/>
          <w:szCs w:val="22"/>
        </w:rPr>
      </w:pPr>
      <w:r w:rsidRPr="000E0B13">
        <w:rPr>
          <w:rStyle w:val="Textoennegrita"/>
          <w:rFonts w:ascii="Arial" w:hAnsi="Arial" w:cs="Arial"/>
          <w:b w:val="0"/>
          <w:color w:val="000000"/>
          <w:sz w:val="22"/>
          <w:szCs w:val="22"/>
        </w:rPr>
        <w:t>Artículo 10.</w:t>
      </w:r>
      <w:r w:rsidRPr="000E0B13">
        <w:rPr>
          <w:rFonts w:ascii="Arial" w:hAnsi="Arial" w:cs="Arial"/>
          <w:color w:val="000000"/>
          <w:sz w:val="22"/>
          <w:szCs w:val="22"/>
        </w:rPr>
        <w:t xml:space="preserve">- </w:t>
      </w:r>
      <w:r w:rsidRPr="000E0B13">
        <w:rPr>
          <w:rFonts w:ascii="Arial" w:hAnsi="Arial" w:cs="Arial"/>
          <w:i/>
          <w:color w:val="000000"/>
          <w:sz w:val="22"/>
          <w:szCs w:val="22"/>
        </w:rPr>
        <w:t>Régimen</w:t>
      </w:r>
      <w:r w:rsidRPr="000E0B13">
        <w:rPr>
          <w:rFonts w:ascii="Arial" w:hAnsi="Arial" w:cs="Arial"/>
          <w:color w:val="000000"/>
          <w:sz w:val="22"/>
          <w:szCs w:val="22"/>
        </w:rPr>
        <w:t>.</w:t>
      </w:r>
      <w:r w:rsidR="00D56598" w:rsidRPr="000E0B13">
        <w:rPr>
          <w:rFonts w:ascii="Arial" w:hAnsi="Arial" w:cs="Arial"/>
          <w:color w:val="000000"/>
          <w:sz w:val="22"/>
          <w:szCs w:val="22"/>
        </w:rPr>
        <w:t>-</w:t>
      </w:r>
      <w:r w:rsidRPr="000E0B13">
        <w:rPr>
          <w:rFonts w:ascii="Arial" w:hAnsi="Arial" w:cs="Arial"/>
          <w:color w:val="000000"/>
          <w:sz w:val="22"/>
          <w:szCs w:val="22"/>
        </w:rPr>
        <w:t xml:space="preserve"> El régimen procedimental aplicable es el establecido en la Ley N° 757 -Procedimiento Administrativo para la Defensa del Consumidor y del Usuario- # (BOCBA N° 1432).</w:t>
      </w:r>
    </w:p>
    <w:p w:rsidR="003C1693" w:rsidRPr="000E0B13" w:rsidRDefault="003C1693" w:rsidP="000E0B13">
      <w:pPr>
        <w:jc w:val="both"/>
        <w:rPr>
          <w:rStyle w:val="Textoennegrita"/>
          <w:rFonts w:ascii="Arial" w:hAnsi="Arial" w:cs="Arial"/>
          <w:b w:val="0"/>
          <w:sz w:val="22"/>
          <w:szCs w:val="22"/>
        </w:rPr>
      </w:pPr>
    </w:p>
    <w:tbl>
      <w:tblPr>
        <w:tblW w:w="9000"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5130"/>
        <w:gridCol w:w="3870"/>
      </w:tblGrid>
      <w:tr w:rsidR="003C1693" w:rsidRPr="000E0B13" w:rsidTr="005801EB">
        <w:trPr>
          <w:jc w:val="center"/>
        </w:trPr>
        <w:tc>
          <w:tcPr>
            <w:tcW w:w="9000" w:type="dxa"/>
            <w:gridSpan w:val="2"/>
            <w:tcBorders>
              <w:top w:val="single" w:sz="4" w:space="0" w:color="auto"/>
              <w:left w:val="single" w:sz="4" w:space="0" w:color="auto"/>
              <w:bottom w:val="single" w:sz="6" w:space="0" w:color="auto"/>
              <w:right w:val="single" w:sz="4" w:space="0" w:color="auto"/>
            </w:tcBorders>
            <w:vAlign w:val="center"/>
          </w:tcPr>
          <w:p w:rsidR="003C1693" w:rsidRPr="000E0B13" w:rsidRDefault="003C1693" w:rsidP="005801EB">
            <w:pPr>
              <w:pStyle w:val="Textosinformato"/>
              <w:spacing w:before="240"/>
              <w:jc w:val="center"/>
              <w:rPr>
                <w:rFonts w:ascii="Arial" w:hAnsi="Arial" w:cs="Arial"/>
                <w:b/>
                <w:sz w:val="22"/>
              </w:rPr>
            </w:pPr>
            <w:r w:rsidRPr="000E0B13">
              <w:rPr>
                <w:rFonts w:ascii="Arial" w:hAnsi="Arial" w:cs="Arial"/>
                <w:b/>
                <w:sz w:val="22"/>
                <w:szCs w:val="22"/>
              </w:rPr>
              <w:t xml:space="preserve">LEY </w:t>
            </w:r>
            <w:r w:rsidRPr="000E0B13">
              <w:rPr>
                <w:rFonts w:ascii="Arial" w:hAnsi="Arial" w:cs="Arial"/>
                <w:b/>
                <w:bCs/>
                <w:sz w:val="22"/>
                <w:szCs w:val="22"/>
              </w:rPr>
              <w:t xml:space="preserve">I – </w:t>
            </w:r>
            <w:r w:rsidRPr="000E0B13">
              <w:rPr>
                <w:rFonts w:ascii="Arial" w:hAnsi="Arial" w:cs="Arial"/>
                <w:b/>
                <w:sz w:val="22"/>
                <w:szCs w:val="22"/>
              </w:rPr>
              <w:t>Nº 2</w:t>
            </w:r>
            <w:r w:rsidR="005801EB">
              <w:rPr>
                <w:rFonts w:ascii="Arial" w:hAnsi="Arial" w:cs="Arial"/>
                <w:b/>
                <w:sz w:val="22"/>
                <w:szCs w:val="22"/>
              </w:rPr>
              <w:t>.</w:t>
            </w:r>
            <w:r w:rsidRPr="000E0B13">
              <w:rPr>
                <w:rFonts w:ascii="Arial" w:hAnsi="Arial" w:cs="Arial"/>
                <w:b/>
                <w:sz w:val="22"/>
                <w:szCs w:val="22"/>
              </w:rPr>
              <w:t>475</w:t>
            </w:r>
          </w:p>
          <w:p w:rsidR="003C1693" w:rsidRPr="000E0B13" w:rsidRDefault="003C1693" w:rsidP="005801EB">
            <w:pPr>
              <w:pStyle w:val="Textosinformato"/>
              <w:jc w:val="center"/>
              <w:rPr>
                <w:rFonts w:ascii="Arial" w:hAnsi="Arial" w:cs="Arial"/>
                <w:b/>
                <w:sz w:val="22"/>
                <w:u w:val="single"/>
              </w:rPr>
            </w:pPr>
            <w:r w:rsidRPr="000E0B13">
              <w:rPr>
                <w:rFonts w:ascii="Arial" w:hAnsi="Arial" w:cs="Arial"/>
                <w:b/>
                <w:sz w:val="22"/>
                <w:szCs w:val="22"/>
              </w:rPr>
              <w:t>TABLA DE ANTECEDENTES</w:t>
            </w:r>
          </w:p>
        </w:tc>
      </w:tr>
      <w:tr w:rsidR="003C1693" w:rsidRPr="000E0B13" w:rsidTr="00B3457B">
        <w:trPr>
          <w:jc w:val="center"/>
        </w:trPr>
        <w:tc>
          <w:tcPr>
            <w:tcW w:w="5130" w:type="dxa"/>
            <w:tcBorders>
              <w:top w:val="single" w:sz="6" w:space="0" w:color="auto"/>
              <w:left w:val="single" w:sz="4" w:space="0" w:color="auto"/>
              <w:bottom w:val="single" w:sz="6" w:space="0" w:color="auto"/>
              <w:right w:val="single" w:sz="6" w:space="0" w:color="auto"/>
            </w:tcBorders>
            <w:vAlign w:val="center"/>
            <w:hideMark/>
          </w:tcPr>
          <w:p w:rsidR="003C1693" w:rsidRPr="000E0B13" w:rsidRDefault="003C1693" w:rsidP="00B3457B">
            <w:pPr>
              <w:pStyle w:val="Textosinformato"/>
              <w:jc w:val="center"/>
              <w:rPr>
                <w:rFonts w:ascii="Arial" w:hAnsi="Arial" w:cs="Arial"/>
                <w:b/>
                <w:sz w:val="22"/>
              </w:rPr>
            </w:pPr>
            <w:r w:rsidRPr="000E0B13">
              <w:rPr>
                <w:rFonts w:ascii="Arial" w:hAnsi="Arial" w:cs="Arial"/>
                <w:b/>
                <w:sz w:val="22"/>
                <w:szCs w:val="22"/>
              </w:rPr>
              <w:t>Número de Artículo del Texto</w:t>
            </w:r>
            <w:r w:rsidR="00B3457B">
              <w:rPr>
                <w:rFonts w:ascii="Arial" w:hAnsi="Arial" w:cs="Arial"/>
                <w:b/>
                <w:sz w:val="22"/>
              </w:rPr>
              <w:t xml:space="preserve"> </w:t>
            </w:r>
            <w:r w:rsidRPr="000E0B13">
              <w:rPr>
                <w:rFonts w:ascii="Arial" w:hAnsi="Arial" w:cs="Arial"/>
                <w:b/>
                <w:sz w:val="22"/>
                <w:szCs w:val="22"/>
              </w:rPr>
              <w:t>Definitivo</w:t>
            </w:r>
          </w:p>
        </w:tc>
        <w:tc>
          <w:tcPr>
            <w:tcW w:w="3870" w:type="dxa"/>
            <w:tcBorders>
              <w:top w:val="single" w:sz="6" w:space="0" w:color="auto"/>
              <w:left w:val="single" w:sz="6" w:space="0" w:color="auto"/>
              <w:bottom w:val="single" w:sz="6" w:space="0" w:color="auto"/>
              <w:right w:val="single" w:sz="4" w:space="0" w:color="auto"/>
            </w:tcBorders>
            <w:vAlign w:val="center"/>
            <w:hideMark/>
          </w:tcPr>
          <w:p w:rsidR="003C1693" w:rsidRPr="000E0B13" w:rsidRDefault="003C1693" w:rsidP="005801EB">
            <w:pPr>
              <w:pStyle w:val="Textosinformato"/>
              <w:jc w:val="center"/>
              <w:rPr>
                <w:rFonts w:ascii="Arial" w:hAnsi="Arial" w:cs="Arial"/>
                <w:b/>
                <w:sz w:val="22"/>
              </w:rPr>
            </w:pPr>
            <w:r w:rsidRPr="000E0B13">
              <w:rPr>
                <w:rFonts w:ascii="Arial" w:hAnsi="Arial" w:cs="Arial"/>
                <w:b/>
                <w:sz w:val="22"/>
                <w:szCs w:val="22"/>
              </w:rPr>
              <w:t>Fuente</w:t>
            </w:r>
          </w:p>
        </w:tc>
      </w:tr>
      <w:tr w:rsidR="003C1693" w:rsidRPr="000E0B13" w:rsidTr="005801EB">
        <w:trPr>
          <w:trHeight w:val="555"/>
          <w:jc w:val="center"/>
        </w:trPr>
        <w:tc>
          <w:tcPr>
            <w:tcW w:w="9000" w:type="dxa"/>
            <w:gridSpan w:val="2"/>
            <w:tcBorders>
              <w:top w:val="single" w:sz="6" w:space="0" w:color="auto"/>
              <w:left w:val="single" w:sz="4" w:space="0" w:color="auto"/>
              <w:bottom w:val="single" w:sz="4" w:space="0" w:color="auto"/>
              <w:right w:val="single" w:sz="4" w:space="0" w:color="auto"/>
            </w:tcBorders>
            <w:vAlign w:val="center"/>
            <w:hideMark/>
          </w:tcPr>
          <w:p w:rsidR="00EB4DEF" w:rsidRPr="000E0B13" w:rsidRDefault="00075D68" w:rsidP="005801EB">
            <w:pPr>
              <w:pStyle w:val="Textosinformato"/>
              <w:jc w:val="center"/>
              <w:rPr>
                <w:rFonts w:ascii="Arial" w:hAnsi="Arial" w:cs="Arial"/>
                <w:sz w:val="22"/>
              </w:rPr>
            </w:pPr>
            <w:r w:rsidRPr="000E0B13">
              <w:rPr>
                <w:rFonts w:ascii="Arial" w:hAnsi="Arial" w:cs="Arial"/>
                <w:sz w:val="22"/>
                <w:szCs w:val="22"/>
              </w:rPr>
              <w:t xml:space="preserve">Todos los artículos de este Texto Definitivo provienen del texto original de la Ley Nº </w:t>
            </w:r>
            <w:r w:rsidR="003C1693" w:rsidRPr="000E0B13">
              <w:rPr>
                <w:rFonts w:ascii="Arial" w:hAnsi="Arial" w:cs="Arial"/>
                <w:sz w:val="22"/>
                <w:szCs w:val="22"/>
              </w:rPr>
              <w:t>2</w:t>
            </w:r>
            <w:r w:rsidR="00B3457B">
              <w:rPr>
                <w:rFonts w:ascii="Arial" w:hAnsi="Arial" w:cs="Arial"/>
                <w:sz w:val="22"/>
                <w:szCs w:val="22"/>
              </w:rPr>
              <w:t>.</w:t>
            </w:r>
            <w:r w:rsidR="003C1693" w:rsidRPr="000E0B13">
              <w:rPr>
                <w:rFonts w:ascii="Arial" w:hAnsi="Arial" w:cs="Arial"/>
                <w:sz w:val="22"/>
                <w:szCs w:val="22"/>
              </w:rPr>
              <w:t>475</w:t>
            </w:r>
          </w:p>
        </w:tc>
      </w:tr>
    </w:tbl>
    <w:p w:rsidR="003C1693" w:rsidRPr="000E0B13" w:rsidRDefault="003C1693" w:rsidP="000E0B13">
      <w:pPr>
        <w:pStyle w:val="Textosinformato"/>
        <w:jc w:val="both"/>
        <w:rPr>
          <w:rFonts w:ascii="Arial" w:hAnsi="Arial" w:cs="Arial"/>
          <w:sz w:val="22"/>
          <w:szCs w:val="22"/>
        </w:rPr>
      </w:pPr>
    </w:p>
    <w:p w:rsidR="0081670A" w:rsidRPr="005801EB" w:rsidRDefault="0081670A" w:rsidP="005801EB">
      <w:pPr>
        <w:pStyle w:val="Textosinformato"/>
        <w:rPr>
          <w:rFonts w:ascii="Arial" w:hAnsi="Arial" w:cs="Arial"/>
          <w:b/>
          <w:sz w:val="22"/>
          <w:szCs w:val="22"/>
        </w:rPr>
      </w:pPr>
      <w:r w:rsidRPr="005801EB">
        <w:rPr>
          <w:rFonts w:ascii="Arial" w:hAnsi="Arial" w:cs="Arial"/>
          <w:b/>
          <w:sz w:val="22"/>
          <w:szCs w:val="22"/>
        </w:rPr>
        <w:t>Artículos suprimidos:</w:t>
      </w:r>
    </w:p>
    <w:p w:rsidR="0081670A" w:rsidRPr="000E0B13" w:rsidRDefault="0081670A" w:rsidP="005801EB">
      <w:pPr>
        <w:pStyle w:val="Textosinformato"/>
        <w:rPr>
          <w:rFonts w:ascii="Arial" w:hAnsi="Arial" w:cs="Arial"/>
          <w:sz w:val="22"/>
          <w:szCs w:val="22"/>
        </w:rPr>
      </w:pPr>
      <w:r w:rsidRPr="005801EB">
        <w:rPr>
          <w:rFonts w:ascii="Arial" w:hAnsi="Arial" w:cs="Arial"/>
          <w:b/>
          <w:sz w:val="22"/>
          <w:szCs w:val="22"/>
        </w:rPr>
        <w:t>Anterior art. 11</w:t>
      </w:r>
      <w:r w:rsidR="005801EB" w:rsidRPr="005801EB">
        <w:rPr>
          <w:rFonts w:ascii="Arial" w:hAnsi="Arial" w:cs="Arial"/>
          <w:b/>
          <w:sz w:val="22"/>
          <w:szCs w:val="22"/>
        </w:rPr>
        <w:t>:-</w:t>
      </w:r>
      <w:r w:rsidR="005801EB">
        <w:rPr>
          <w:rFonts w:ascii="Arial" w:hAnsi="Arial" w:cs="Arial"/>
          <w:sz w:val="22"/>
          <w:szCs w:val="22"/>
        </w:rPr>
        <w:t xml:space="preserve"> Caducidad por plazo vencido.</w:t>
      </w:r>
    </w:p>
    <w:p w:rsidR="005F37BE" w:rsidRPr="000E0B13" w:rsidRDefault="005F37BE" w:rsidP="000E0B13">
      <w:pPr>
        <w:pStyle w:val="Textosinformato"/>
        <w:jc w:val="both"/>
        <w:rPr>
          <w:rFonts w:ascii="Arial" w:hAnsi="Arial" w:cs="Arial"/>
          <w:sz w:val="22"/>
          <w:szCs w:val="22"/>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0"/>
        <w:gridCol w:w="3690"/>
        <w:gridCol w:w="2400"/>
      </w:tblGrid>
      <w:tr w:rsidR="003C1693" w:rsidRPr="000E0B13" w:rsidTr="005801EB">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tcPr>
          <w:p w:rsidR="003C1693" w:rsidRPr="000E0B13" w:rsidRDefault="003C1693" w:rsidP="005801EB">
            <w:pPr>
              <w:pStyle w:val="Textosinformato"/>
              <w:spacing w:before="240"/>
              <w:jc w:val="center"/>
              <w:rPr>
                <w:rFonts w:ascii="Arial" w:hAnsi="Arial" w:cs="Arial"/>
                <w:b/>
                <w:sz w:val="22"/>
              </w:rPr>
            </w:pPr>
            <w:r w:rsidRPr="000E0B13">
              <w:rPr>
                <w:rFonts w:ascii="Arial" w:hAnsi="Arial" w:cs="Arial"/>
                <w:b/>
                <w:sz w:val="22"/>
                <w:szCs w:val="22"/>
              </w:rPr>
              <w:t xml:space="preserve">LEY </w:t>
            </w:r>
            <w:r w:rsidRPr="000E0B13">
              <w:rPr>
                <w:rFonts w:ascii="Arial" w:hAnsi="Arial" w:cs="Arial"/>
                <w:b/>
                <w:bCs/>
                <w:sz w:val="22"/>
                <w:szCs w:val="22"/>
              </w:rPr>
              <w:t xml:space="preserve">I – </w:t>
            </w:r>
            <w:r w:rsidRPr="000E0B13">
              <w:rPr>
                <w:rFonts w:ascii="Arial" w:hAnsi="Arial" w:cs="Arial"/>
                <w:b/>
                <w:sz w:val="22"/>
                <w:szCs w:val="22"/>
              </w:rPr>
              <w:t>Nº 2</w:t>
            </w:r>
            <w:r w:rsidR="005801EB">
              <w:rPr>
                <w:rFonts w:ascii="Arial" w:hAnsi="Arial" w:cs="Arial"/>
                <w:b/>
                <w:sz w:val="22"/>
                <w:szCs w:val="22"/>
              </w:rPr>
              <w:t>.</w:t>
            </w:r>
            <w:r w:rsidRPr="000E0B13">
              <w:rPr>
                <w:rFonts w:ascii="Arial" w:hAnsi="Arial" w:cs="Arial"/>
                <w:b/>
                <w:sz w:val="22"/>
                <w:szCs w:val="22"/>
              </w:rPr>
              <w:t>475</w:t>
            </w:r>
          </w:p>
          <w:p w:rsidR="003C1693" w:rsidRPr="000E0B13" w:rsidRDefault="003C1693" w:rsidP="005801EB">
            <w:pPr>
              <w:pStyle w:val="Textosinformato"/>
              <w:jc w:val="center"/>
              <w:rPr>
                <w:rFonts w:ascii="Arial" w:hAnsi="Arial" w:cs="Arial"/>
                <w:sz w:val="22"/>
              </w:rPr>
            </w:pPr>
            <w:r w:rsidRPr="000E0B13">
              <w:rPr>
                <w:rFonts w:ascii="Arial" w:hAnsi="Arial" w:cs="Arial"/>
                <w:b/>
                <w:sz w:val="22"/>
                <w:szCs w:val="22"/>
              </w:rPr>
              <w:t>TABLA DE EQUIVALENCIAS</w:t>
            </w:r>
          </w:p>
        </w:tc>
      </w:tr>
      <w:tr w:rsidR="003C1693" w:rsidRPr="000E0B13" w:rsidTr="00B3457B">
        <w:trPr>
          <w:jc w:val="center"/>
        </w:trPr>
        <w:tc>
          <w:tcPr>
            <w:tcW w:w="3090" w:type="dxa"/>
            <w:tcBorders>
              <w:top w:val="single" w:sz="4" w:space="0" w:color="auto"/>
              <w:left w:val="single" w:sz="4" w:space="0" w:color="auto"/>
              <w:bottom w:val="single" w:sz="4" w:space="0" w:color="auto"/>
              <w:right w:val="single" w:sz="4" w:space="0" w:color="auto"/>
            </w:tcBorders>
            <w:vAlign w:val="center"/>
            <w:hideMark/>
          </w:tcPr>
          <w:p w:rsidR="003C1693" w:rsidRPr="000E0B13" w:rsidRDefault="003C1693" w:rsidP="005801EB">
            <w:pPr>
              <w:jc w:val="center"/>
              <w:rPr>
                <w:rFonts w:ascii="Arial" w:hAnsi="Arial" w:cs="Arial"/>
                <w:b/>
              </w:rPr>
            </w:pPr>
            <w:r w:rsidRPr="000E0B13">
              <w:rPr>
                <w:rFonts w:ascii="Arial" w:hAnsi="Arial" w:cs="Arial"/>
                <w:b/>
                <w:sz w:val="22"/>
                <w:szCs w:val="22"/>
              </w:rPr>
              <w:t>Número de artículo</w:t>
            </w:r>
          </w:p>
          <w:p w:rsidR="003C1693" w:rsidRPr="000E0B13" w:rsidRDefault="003C1693" w:rsidP="005801EB">
            <w:pPr>
              <w:jc w:val="center"/>
              <w:rPr>
                <w:rFonts w:ascii="Arial" w:hAnsi="Arial" w:cs="Arial"/>
                <w:b/>
              </w:rPr>
            </w:pPr>
            <w:r w:rsidRPr="000E0B13">
              <w:rPr>
                <w:rFonts w:ascii="Arial" w:hAnsi="Arial" w:cs="Arial"/>
                <w:b/>
                <w:sz w:val="22"/>
                <w:szCs w:val="22"/>
              </w:rPr>
              <w:t>del Texto Definitivo</w:t>
            </w:r>
          </w:p>
        </w:tc>
        <w:tc>
          <w:tcPr>
            <w:tcW w:w="3690" w:type="dxa"/>
            <w:tcBorders>
              <w:top w:val="single" w:sz="4" w:space="0" w:color="auto"/>
              <w:left w:val="single" w:sz="4" w:space="0" w:color="auto"/>
              <w:bottom w:val="single" w:sz="4" w:space="0" w:color="auto"/>
              <w:right w:val="single" w:sz="4" w:space="0" w:color="auto"/>
            </w:tcBorders>
            <w:vAlign w:val="center"/>
            <w:hideMark/>
          </w:tcPr>
          <w:p w:rsidR="003C1693" w:rsidRPr="000E0B13" w:rsidRDefault="003C1693" w:rsidP="00B3457B">
            <w:pPr>
              <w:jc w:val="center"/>
              <w:rPr>
                <w:rFonts w:ascii="Arial" w:hAnsi="Arial" w:cs="Arial"/>
                <w:b/>
              </w:rPr>
            </w:pPr>
            <w:r w:rsidRPr="000E0B13">
              <w:rPr>
                <w:rFonts w:ascii="Arial" w:hAnsi="Arial" w:cs="Arial"/>
                <w:b/>
                <w:sz w:val="22"/>
                <w:szCs w:val="22"/>
              </w:rPr>
              <w:t>Número de artículo</w:t>
            </w:r>
            <w:r w:rsidR="00B3457B">
              <w:rPr>
                <w:rFonts w:ascii="Arial" w:hAnsi="Arial" w:cs="Arial"/>
                <w:b/>
              </w:rPr>
              <w:t xml:space="preserve"> </w:t>
            </w:r>
            <w:r w:rsidRPr="000E0B13">
              <w:rPr>
                <w:rFonts w:ascii="Arial" w:hAnsi="Arial" w:cs="Arial"/>
                <w:b/>
                <w:sz w:val="22"/>
                <w:szCs w:val="22"/>
              </w:rPr>
              <w:t>del Texto de Referencia (Ley Nº 2</w:t>
            </w:r>
            <w:r w:rsidR="005801EB">
              <w:rPr>
                <w:rFonts w:ascii="Arial" w:hAnsi="Arial" w:cs="Arial"/>
                <w:b/>
                <w:sz w:val="22"/>
                <w:szCs w:val="22"/>
              </w:rPr>
              <w:t>.</w:t>
            </w:r>
            <w:r w:rsidRPr="000E0B13">
              <w:rPr>
                <w:rFonts w:ascii="Arial" w:hAnsi="Arial" w:cs="Arial"/>
                <w:b/>
                <w:sz w:val="22"/>
                <w:szCs w:val="22"/>
              </w:rPr>
              <w:t>475)</w:t>
            </w:r>
          </w:p>
        </w:tc>
        <w:tc>
          <w:tcPr>
            <w:tcW w:w="2400" w:type="dxa"/>
            <w:tcBorders>
              <w:top w:val="single" w:sz="4" w:space="0" w:color="auto"/>
              <w:left w:val="single" w:sz="4" w:space="0" w:color="auto"/>
              <w:bottom w:val="single" w:sz="4" w:space="0" w:color="auto"/>
              <w:right w:val="single" w:sz="4" w:space="0" w:color="auto"/>
            </w:tcBorders>
            <w:vAlign w:val="center"/>
            <w:hideMark/>
          </w:tcPr>
          <w:p w:rsidR="003C1693" w:rsidRPr="000E0B13" w:rsidRDefault="003C1693" w:rsidP="005801EB">
            <w:pPr>
              <w:jc w:val="center"/>
              <w:rPr>
                <w:rFonts w:ascii="Arial" w:hAnsi="Arial" w:cs="Arial"/>
                <w:b/>
              </w:rPr>
            </w:pPr>
            <w:r w:rsidRPr="000E0B13">
              <w:rPr>
                <w:rFonts w:ascii="Arial" w:hAnsi="Arial" w:cs="Arial"/>
                <w:b/>
                <w:sz w:val="22"/>
                <w:szCs w:val="22"/>
              </w:rPr>
              <w:t>Observaciones</w:t>
            </w:r>
          </w:p>
        </w:tc>
      </w:tr>
      <w:tr w:rsidR="003C1693" w:rsidRPr="000E0B13" w:rsidTr="005801EB">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hideMark/>
          </w:tcPr>
          <w:p w:rsidR="00EB4DEF" w:rsidRPr="000E0B13" w:rsidRDefault="00075D68" w:rsidP="005801EB">
            <w:pPr>
              <w:jc w:val="center"/>
              <w:rPr>
                <w:rFonts w:ascii="Arial" w:hAnsi="Arial" w:cs="Arial"/>
              </w:rPr>
            </w:pPr>
            <w:r w:rsidRPr="000E0B13">
              <w:rPr>
                <w:rFonts w:ascii="Arial" w:hAnsi="Arial" w:cs="Arial"/>
                <w:sz w:val="22"/>
                <w:szCs w:val="22"/>
              </w:rPr>
              <w:t xml:space="preserve">La numeración de los artículos del texto definitivo corresponde a la numeración original de </w:t>
            </w:r>
            <w:r w:rsidRPr="000E0B13">
              <w:rPr>
                <w:rFonts w:ascii="Arial" w:hAnsi="Arial" w:cs="Arial"/>
                <w:sz w:val="22"/>
                <w:szCs w:val="22"/>
              </w:rPr>
              <w:lastRenderedPageBreak/>
              <w:t xml:space="preserve">la Ley Nº </w:t>
            </w:r>
            <w:r w:rsidR="003C1693" w:rsidRPr="000E0B13">
              <w:rPr>
                <w:rFonts w:ascii="Arial" w:hAnsi="Arial" w:cs="Arial"/>
                <w:sz w:val="22"/>
                <w:szCs w:val="22"/>
              </w:rPr>
              <w:t>2</w:t>
            </w:r>
            <w:r w:rsidR="005801EB">
              <w:rPr>
                <w:rFonts w:ascii="Arial" w:hAnsi="Arial" w:cs="Arial"/>
                <w:sz w:val="22"/>
                <w:szCs w:val="22"/>
              </w:rPr>
              <w:t>.</w:t>
            </w:r>
            <w:r w:rsidR="003C1693" w:rsidRPr="000E0B13">
              <w:rPr>
                <w:rFonts w:ascii="Arial" w:hAnsi="Arial" w:cs="Arial"/>
                <w:sz w:val="22"/>
                <w:szCs w:val="22"/>
              </w:rPr>
              <w:t>475</w:t>
            </w:r>
          </w:p>
        </w:tc>
      </w:tr>
    </w:tbl>
    <w:p w:rsidR="00EB4DEF" w:rsidRPr="000E0B13" w:rsidRDefault="00EB4DEF" w:rsidP="000E0B13">
      <w:pPr>
        <w:pStyle w:val="Textosinformato"/>
        <w:jc w:val="both"/>
        <w:rPr>
          <w:rFonts w:ascii="Arial" w:hAnsi="Arial" w:cs="Arial"/>
          <w:sz w:val="22"/>
          <w:szCs w:val="22"/>
        </w:rPr>
      </w:pPr>
    </w:p>
    <w:p w:rsidR="003C1693" w:rsidRPr="00B3457B" w:rsidRDefault="003C1693" w:rsidP="000E0B13">
      <w:pPr>
        <w:pStyle w:val="Textosinformato"/>
        <w:jc w:val="both"/>
        <w:rPr>
          <w:rFonts w:ascii="Arial" w:hAnsi="Arial" w:cs="Arial"/>
          <w:b/>
          <w:sz w:val="22"/>
          <w:szCs w:val="22"/>
          <w:u w:val="single"/>
        </w:rPr>
      </w:pPr>
      <w:r w:rsidRPr="00B3457B">
        <w:rPr>
          <w:rFonts w:ascii="Arial" w:hAnsi="Arial" w:cs="Arial"/>
          <w:b/>
          <w:sz w:val="22"/>
          <w:szCs w:val="22"/>
          <w:u w:val="single"/>
        </w:rPr>
        <w:t>Observaciones generales:</w:t>
      </w:r>
    </w:p>
    <w:p w:rsidR="003C1693" w:rsidRPr="000E0B13" w:rsidRDefault="003C1693" w:rsidP="005801EB">
      <w:pPr>
        <w:pStyle w:val="Textosinformato"/>
        <w:numPr>
          <w:ilvl w:val="0"/>
          <w:numId w:val="2"/>
        </w:numPr>
        <w:ind w:left="567" w:hanging="567"/>
        <w:jc w:val="both"/>
        <w:rPr>
          <w:rFonts w:ascii="Arial" w:hAnsi="Arial" w:cs="Arial"/>
          <w:sz w:val="22"/>
          <w:szCs w:val="22"/>
        </w:rPr>
      </w:pPr>
      <w:r w:rsidRPr="000E0B13">
        <w:rPr>
          <w:rFonts w:ascii="Arial" w:hAnsi="Arial" w:cs="Arial"/>
          <w:sz w:val="22"/>
          <w:szCs w:val="22"/>
        </w:rPr>
        <w:t># La presente norma contiene remisiones externas #</w:t>
      </w:r>
    </w:p>
    <w:p w:rsidR="00DA19F5" w:rsidRPr="000E0B13" w:rsidRDefault="0081670A" w:rsidP="005801EB">
      <w:pPr>
        <w:pStyle w:val="Textosinformato"/>
        <w:numPr>
          <w:ilvl w:val="0"/>
          <w:numId w:val="2"/>
        </w:numPr>
        <w:ind w:left="567" w:hanging="567"/>
        <w:jc w:val="both"/>
        <w:rPr>
          <w:rFonts w:ascii="Arial" w:hAnsi="Arial" w:cs="Arial"/>
          <w:sz w:val="22"/>
          <w:szCs w:val="22"/>
        </w:rPr>
      </w:pPr>
      <w:r w:rsidRPr="000E0B13">
        <w:rPr>
          <w:rFonts w:ascii="Arial" w:hAnsi="Arial" w:cs="Arial"/>
          <w:sz w:val="22"/>
          <w:szCs w:val="22"/>
        </w:rPr>
        <w:t xml:space="preserve">Por el art </w:t>
      </w:r>
      <w:r w:rsidR="00075D68" w:rsidRPr="000E0B13">
        <w:rPr>
          <w:rStyle w:val="Textoennegrita"/>
          <w:rFonts w:ascii="Arial" w:hAnsi="Arial" w:cs="Arial"/>
          <w:b w:val="0"/>
          <w:color w:val="000000"/>
          <w:sz w:val="22"/>
          <w:szCs w:val="22"/>
        </w:rPr>
        <w:t>11</w:t>
      </w:r>
      <w:r w:rsidRPr="000E0B13">
        <w:rPr>
          <w:rStyle w:val="Textoennegrita"/>
          <w:rFonts w:ascii="Arial" w:hAnsi="Arial" w:cs="Arial"/>
          <w:b w:val="0"/>
          <w:color w:val="000000"/>
          <w:sz w:val="22"/>
          <w:szCs w:val="22"/>
        </w:rPr>
        <w:t xml:space="preserve"> se disponía que </w:t>
      </w:r>
      <w:r w:rsidR="000033AE" w:rsidRPr="000E0B13">
        <w:rPr>
          <w:rStyle w:val="Textoennegrita"/>
          <w:rFonts w:ascii="Arial" w:hAnsi="Arial" w:cs="Arial"/>
          <w:b w:val="0"/>
          <w:color w:val="000000"/>
          <w:sz w:val="22"/>
          <w:szCs w:val="22"/>
        </w:rPr>
        <w:t>e</w:t>
      </w:r>
      <w:r w:rsidR="00075D68" w:rsidRPr="000E0B13">
        <w:rPr>
          <w:rFonts w:ascii="Arial" w:hAnsi="Arial" w:cs="Arial"/>
          <w:color w:val="000000"/>
          <w:sz w:val="22"/>
          <w:szCs w:val="22"/>
        </w:rPr>
        <w:t>l plazo para dar cumplimiento a lo establecido en la presente ley e</w:t>
      </w:r>
      <w:r w:rsidRPr="000E0B13">
        <w:rPr>
          <w:rFonts w:ascii="Arial" w:hAnsi="Arial" w:cs="Arial"/>
          <w:color w:val="000000"/>
          <w:sz w:val="22"/>
          <w:szCs w:val="22"/>
        </w:rPr>
        <w:t>ra</w:t>
      </w:r>
      <w:r w:rsidR="00075D68" w:rsidRPr="000E0B13">
        <w:rPr>
          <w:rFonts w:ascii="Arial" w:hAnsi="Arial" w:cs="Arial"/>
          <w:color w:val="000000"/>
          <w:sz w:val="22"/>
          <w:szCs w:val="22"/>
        </w:rPr>
        <w:t xml:space="preserve"> de ciento ochenta (180) días contados a partir de su promulgación</w:t>
      </w:r>
      <w:r w:rsidRPr="000E0B13">
        <w:rPr>
          <w:rFonts w:ascii="Arial" w:hAnsi="Arial" w:cs="Arial"/>
          <w:color w:val="000000"/>
          <w:sz w:val="22"/>
          <w:szCs w:val="22"/>
        </w:rPr>
        <w:t>. Dado que la norma quedó promulgada de hecho el 22 de noviembre de 2007, ha vencido con holgura el plazo aludido en el presente artículo por lo que corresponde disponer su caducidad y excluirlo del texto definitivo.</w:t>
      </w:r>
    </w:p>
    <w:sectPr w:rsidR="00DA19F5" w:rsidRPr="000E0B13" w:rsidSect="000E0B13">
      <w:pgSz w:w="12240" w:h="15840"/>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A3110"/>
    <w:multiLevelType w:val="hybridMultilevel"/>
    <w:tmpl w:val="45B821F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FDE3346"/>
    <w:multiLevelType w:val="hybridMultilevel"/>
    <w:tmpl w:val="5F3C16F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A9F7218"/>
    <w:multiLevelType w:val="hybridMultilevel"/>
    <w:tmpl w:val="9862776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4CE479AB"/>
    <w:multiLevelType w:val="hybridMultilevel"/>
    <w:tmpl w:val="DDF81A6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3C1693"/>
    <w:rsid w:val="000033AE"/>
    <w:rsid w:val="00075D68"/>
    <w:rsid w:val="000E0B13"/>
    <w:rsid w:val="002A5960"/>
    <w:rsid w:val="003C1693"/>
    <w:rsid w:val="0042195B"/>
    <w:rsid w:val="00513F65"/>
    <w:rsid w:val="005801EB"/>
    <w:rsid w:val="005F37BE"/>
    <w:rsid w:val="006F281C"/>
    <w:rsid w:val="0081670A"/>
    <w:rsid w:val="008A7B65"/>
    <w:rsid w:val="0091396A"/>
    <w:rsid w:val="009A3E93"/>
    <w:rsid w:val="009B21ED"/>
    <w:rsid w:val="009E49A2"/>
    <w:rsid w:val="00B21F6B"/>
    <w:rsid w:val="00B3457B"/>
    <w:rsid w:val="00C1047E"/>
    <w:rsid w:val="00D56598"/>
    <w:rsid w:val="00DA19F5"/>
    <w:rsid w:val="00E326EE"/>
    <w:rsid w:val="00EB4DEF"/>
    <w:rsid w:val="00FF54B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3C1693"/>
    <w:pPr>
      <w:spacing w:after="0" w:line="36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qFormat/>
    <w:rsid w:val="003C1693"/>
    <w:rPr>
      <w:b/>
      <w:bCs w:val="0"/>
    </w:rPr>
  </w:style>
  <w:style w:type="paragraph" w:styleId="Textosinformato">
    <w:name w:val="Plain Text"/>
    <w:basedOn w:val="Normal"/>
    <w:link w:val="TextosinformatoCar"/>
    <w:unhideWhenUsed/>
    <w:rsid w:val="003C1693"/>
    <w:rPr>
      <w:rFonts w:ascii="Courier New" w:hAnsi="Courier New"/>
      <w:sz w:val="20"/>
    </w:rPr>
  </w:style>
  <w:style w:type="character" w:customStyle="1" w:styleId="TextosinformatoCar">
    <w:name w:val="Texto sin formato Car"/>
    <w:basedOn w:val="Fuentedeprrafopredeter"/>
    <w:link w:val="Textosinformato"/>
    <w:rsid w:val="003C1693"/>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B3457B"/>
    <w:pPr>
      <w:ind w:left="720"/>
      <w:contextualSpacing/>
    </w:pPr>
  </w:style>
</w:styles>
</file>

<file path=word/webSettings.xml><?xml version="1.0" encoding="utf-8"?>
<w:webSettings xmlns:r="http://schemas.openxmlformats.org/officeDocument/2006/relationships" xmlns:w="http://schemas.openxmlformats.org/wordprocessingml/2006/main">
  <w:divs>
    <w:div w:id="117167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677</Words>
  <Characters>3729</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10</cp:revision>
  <dcterms:created xsi:type="dcterms:W3CDTF">2014-09-09T14:12:00Z</dcterms:created>
  <dcterms:modified xsi:type="dcterms:W3CDTF">2015-10-19T15:26:00Z</dcterms:modified>
</cp:coreProperties>
</file>