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A50201" w:rsidRDefault="004B6193" w:rsidP="00A50201">
      <w:pPr>
        <w:spacing w:line="360" w:lineRule="auto"/>
        <w:rPr>
          <w:rFonts w:ascii="Arial" w:hAnsi="Arial" w:cs="Arial"/>
          <w:b/>
          <w:sz w:val="22"/>
          <w:szCs w:val="22"/>
        </w:rPr>
      </w:pPr>
      <w:r w:rsidRPr="00A50201">
        <w:rPr>
          <w:rFonts w:ascii="Arial" w:hAnsi="Arial" w:cs="Arial"/>
          <w:b/>
          <w:sz w:val="22"/>
          <w:szCs w:val="22"/>
        </w:rPr>
        <w:t>2007-11-1256</w:t>
      </w:r>
    </w:p>
    <w:p w:rsidR="00F8176A" w:rsidRDefault="00F8176A" w:rsidP="00A50201">
      <w:pPr>
        <w:spacing w:line="360" w:lineRule="auto"/>
        <w:jc w:val="center"/>
        <w:rPr>
          <w:rFonts w:ascii="Arial" w:hAnsi="Arial" w:cs="Arial"/>
          <w:b/>
          <w:sz w:val="22"/>
          <w:szCs w:val="22"/>
        </w:rPr>
      </w:pPr>
    </w:p>
    <w:p w:rsidR="00F8176A" w:rsidRPr="00A50201" w:rsidRDefault="00B91AEF" w:rsidP="00A50201">
      <w:pPr>
        <w:spacing w:line="360" w:lineRule="auto"/>
        <w:jc w:val="center"/>
        <w:rPr>
          <w:rFonts w:ascii="Arial" w:hAnsi="Arial" w:cs="Arial"/>
          <w:b/>
          <w:sz w:val="22"/>
          <w:szCs w:val="22"/>
        </w:rPr>
      </w:pPr>
      <w:r w:rsidRPr="00B91AEF">
        <w:rPr>
          <w:rFonts w:ascii="Arial" w:hAnsi="Arial" w:cs="Arial"/>
          <w:b/>
          <w:sz w:val="22"/>
          <w:szCs w:val="22"/>
        </w:rPr>
        <w:t>LEY G - N° 2.489</w:t>
      </w:r>
    </w:p>
    <w:p w:rsidR="00F8176A" w:rsidRDefault="00F8176A" w:rsidP="00A50201">
      <w:pPr>
        <w:spacing w:line="360" w:lineRule="auto"/>
        <w:jc w:val="both"/>
        <w:rPr>
          <w:rFonts w:ascii="Arial" w:hAnsi="Arial" w:cs="Arial"/>
          <w:sz w:val="22"/>
          <w:szCs w:val="22"/>
        </w:rPr>
      </w:pPr>
    </w:p>
    <w:p w:rsidR="004B6193" w:rsidRPr="00A50201" w:rsidRDefault="004B6193" w:rsidP="00A50201">
      <w:pPr>
        <w:spacing w:line="360" w:lineRule="auto"/>
        <w:jc w:val="both"/>
        <w:rPr>
          <w:rFonts w:ascii="Arial" w:hAnsi="Arial" w:cs="Arial"/>
          <w:sz w:val="22"/>
          <w:szCs w:val="22"/>
        </w:rPr>
      </w:pPr>
      <w:r w:rsidRPr="00A50201">
        <w:rPr>
          <w:rFonts w:ascii="Arial" w:hAnsi="Arial" w:cs="Arial"/>
          <w:sz w:val="22"/>
          <w:szCs w:val="22"/>
        </w:rPr>
        <w:t>Artículo 1°.- Queda establecido en la Biblioteca "Esteban Echeverría", dependiente de la Dirección General de Cultura de la Legislatura de la Ciudad Autónoma de Buenos Aires, el Depósito General de Publicaciones Oficiales que realicen el Poder Ejecutivo, el Poder Judicial, la propia Legislatura, y los demás órganos establecidos en el Libro II de la Constitución de la Ciudad Autónoma de Buenos Aires.</w:t>
      </w:r>
    </w:p>
    <w:p w:rsidR="00F8176A" w:rsidRDefault="00F8176A" w:rsidP="00A50201">
      <w:pPr>
        <w:spacing w:line="360" w:lineRule="auto"/>
        <w:jc w:val="both"/>
        <w:rPr>
          <w:rFonts w:ascii="Arial" w:hAnsi="Arial" w:cs="Arial"/>
          <w:sz w:val="22"/>
          <w:szCs w:val="22"/>
        </w:rPr>
      </w:pPr>
    </w:p>
    <w:p w:rsidR="004B6193" w:rsidRPr="00A50201" w:rsidRDefault="004B6193" w:rsidP="00A50201">
      <w:pPr>
        <w:spacing w:line="360" w:lineRule="auto"/>
        <w:jc w:val="both"/>
        <w:rPr>
          <w:rFonts w:ascii="Arial" w:hAnsi="Arial" w:cs="Arial"/>
          <w:sz w:val="22"/>
          <w:szCs w:val="22"/>
        </w:rPr>
      </w:pPr>
      <w:r w:rsidRPr="00A50201">
        <w:rPr>
          <w:rFonts w:ascii="Arial" w:hAnsi="Arial" w:cs="Arial"/>
          <w:sz w:val="22"/>
          <w:szCs w:val="22"/>
        </w:rPr>
        <w:t>Artículo 2°.- El depósito quedará formalizado por la entrega a la mencionada Dirección General de Cultura de dos (2) ejemplares de toda publicación, escrito, libro, folletos, mapas, planos u otra clase de publicación en cualquier tipo de soporte existente o por crearse, que editen los órganos mencionados en el artículo 1° y siempre que refieran a cuestiones institucionales y/o vinculadas al desarrollo histórico-cultural de la Ciudad de Buenos Aires.</w:t>
      </w:r>
    </w:p>
    <w:p w:rsidR="00F8176A" w:rsidRDefault="00F8176A" w:rsidP="00A50201">
      <w:pPr>
        <w:spacing w:line="360" w:lineRule="auto"/>
        <w:jc w:val="both"/>
        <w:rPr>
          <w:rFonts w:ascii="Arial" w:hAnsi="Arial" w:cs="Arial"/>
          <w:sz w:val="22"/>
          <w:szCs w:val="22"/>
        </w:rPr>
      </w:pPr>
    </w:p>
    <w:p w:rsidR="004B6193" w:rsidRPr="00A50201" w:rsidRDefault="004B6193" w:rsidP="00A50201">
      <w:pPr>
        <w:spacing w:line="360" w:lineRule="auto"/>
        <w:jc w:val="both"/>
        <w:rPr>
          <w:rFonts w:ascii="Arial" w:hAnsi="Arial" w:cs="Arial"/>
          <w:sz w:val="22"/>
          <w:szCs w:val="22"/>
        </w:rPr>
      </w:pPr>
      <w:r w:rsidRPr="00A50201">
        <w:rPr>
          <w:rFonts w:ascii="Arial" w:hAnsi="Arial" w:cs="Arial"/>
          <w:sz w:val="22"/>
          <w:szCs w:val="22"/>
        </w:rPr>
        <w:t>Artículo 3°.- La Dirección General de Cultura remitirá los dos ejemplares a la Biblioteca "Esteban Echeverría". La misma, a su vez, destinará un (1) ejemplar para consulta del público. El segundo ejemplar estará destinado a Archivo para asegurar la preservación del material.</w:t>
      </w:r>
    </w:p>
    <w:p w:rsidR="00F8176A" w:rsidRDefault="00F8176A" w:rsidP="00A50201">
      <w:pPr>
        <w:spacing w:line="360" w:lineRule="auto"/>
        <w:jc w:val="both"/>
        <w:rPr>
          <w:rFonts w:ascii="Arial" w:hAnsi="Arial" w:cs="Arial"/>
          <w:sz w:val="22"/>
          <w:szCs w:val="22"/>
        </w:rPr>
      </w:pPr>
    </w:p>
    <w:p w:rsidR="004B6193" w:rsidRPr="00A50201" w:rsidRDefault="004B6193" w:rsidP="00A50201">
      <w:pPr>
        <w:spacing w:line="360" w:lineRule="auto"/>
        <w:jc w:val="both"/>
        <w:rPr>
          <w:rFonts w:ascii="Arial" w:hAnsi="Arial" w:cs="Arial"/>
          <w:sz w:val="22"/>
          <w:szCs w:val="22"/>
        </w:rPr>
      </w:pPr>
      <w:r w:rsidRPr="00A50201">
        <w:rPr>
          <w:rFonts w:ascii="Arial" w:hAnsi="Arial" w:cs="Arial"/>
          <w:sz w:val="22"/>
          <w:szCs w:val="22"/>
        </w:rPr>
        <w:t>Artículo 4°.- La remisión de los ejemplares a que se refiere el artículo 2° deberá tener lugar dentro de los treinta (30) días subsiguientes al de la aparición de la publicación.</w:t>
      </w:r>
    </w:p>
    <w:p w:rsidR="00F8176A" w:rsidRDefault="00F8176A" w:rsidP="00A50201">
      <w:pPr>
        <w:spacing w:line="360" w:lineRule="auto"/>
        <w:jc w:val="both"/>
        <w:rPr>
          <w:rFonts w:ascii="Arial" w:hAnsi="Arial" w:cs="Arial"/>
          <w:sz w:val="22"/>
          <w:szCs w:val="22"/>
        </w:rPr>
      </w:pPr>
    </w:p>
    <w:p w:rsidR="004B6193" w:rsidRPr="00A50201" w:rsidRDefault="004B6193" w:rsidP="00A50201">
      <w:pPr>
        <w:spacing w:line="360" w:lineRule="auto"/>
        <w:jc w:val="both"/>
        <w:rPr>
          <w:rFonts w:ascii="Arial" w:hAnsi="Arial" w:cs="Arial"/>
          <w:sz w:val="22"/>
          <w:szCs w:val="22"/>
        </w:rPr>
      </w:pPr>
      <w:r w:rsidRPr="00A50201">
        <w:rPr>
          <w:rFonts w:ascii="Arial" w:hAnsi="Arial" w:cs="Arial"/>
          <w:sz w:val="22"/>
          <w:szCs w:val="22"/>
        </w:rPr>
        <w:t>Artículo 5°.- La Dirección General de Cultura abrirá un Libro de Registro de todas las publicaciones recibidas y entregará el correspondiente acuse de recibo. Asimismo, publicará periódicamente un catálogo que contenga todas las publicaciones recibidas, disponible en la página web de la Legislatura.</w:t>
      </w:r>
    </w:p>
    <w:p w:rsidR="00F8176A" w:rsidRDefault="00F8176A" w:rsidP="00A50201">
      <w:pPr>
        <w:spacing w:line="360" w:lineRule="auto"/>
        <w:jc w:val="both"/>
        <w:rPr>
          <w:rFonts w:ascii="Arial" w:hAnsi="Arial" w:cs="Arial"/>
          <w:sz w:val="22"/>
          <w:szCs w:val="22"/>
        </w:rPr>
      </w:pPr>
    </w:p>
    <w:p w:rsidR="004B6193" w:rsidRDefault="004B6193" w:rsidP="00A50201">
      <w:pPr>
        <w:spacing w:line="360" w:lineRule="auto"/>
        <w:jc w:val="both"/>
        <w:rPr>
          <w:rFonts w:ascii="Arial" w:hAnsi="Arial" w:cs="Arial"/>
          <w:sz w:val="22"/>
          <w:szCs w:val="22"/>
        </w:rPr>
      </w:pPr>
      <w:r w:rsidRPr="00A50201">
        <w:rPr>
          <w:rFonts w:ascii="Arial" w:hAnsi="Arial" w:cs="Arial"/>
          <w:sz w:val="22"/>
          <w:szCs w:val="22"/>
        </w:rPr>
        <w:t>Artículo 6°.- La Dirección de Cultura, a través de la Biblioteca "Esteban Echeverría", propiciará la digitalización del material comprendido en el depósito creado por la presente norma y su publicación en la página web de la Legislatura, con el objeto de hacer efectivos los términos establecidos en la Ley N° 104 # de Acceso a la Información.</w:t>
      </w:r>
    </w:p>
    <w:p w:rsidR="00B91AEF" w:rsidRPr="00A50201" w:rsidRDefault="00B91AEF" w:rsidP="00A50201">
      <w:pPr>
        <w:spacing w:line="360" w:lineRule="auto"/>
        <w:jc w:val="both"/>
        <w:rPr>
          <w:rFonts w:ascii="Arial" w:hAnsi="Arial" w:cs="Arial"/>
          <w:sz w:val="22"/>
          <w:szCs w:val="22"/>
        </w:rPr>
      </w:pPr>
    </w:p>
    <w:p w:rsidR="004B6193" w:rsidRPr="00A50201" w:rsidRDefault="004B6193" w:rsidP="00A50201">
      <w:pPr>
        <w:spacing w:line="360" w:lineRule="auto"/>
        <w:jc w:val="both"/>
        <w:rPr>
          <w:rFonts w:ascii="Arial" w:hAnsi="Arial" w:cs="Arial"/>
          <w:sz w:val="22"/>
          <w:szCs w:val="22"/>
        </w:rPr>
      </w:pPr>
      <w:r w:rsidRPr="00A50201">
        <w:rPr>
          <w:rFonts w:ascii="Arial" w:hAnsi="Arial" w:cs="Arial"/>
          <w:sz w:val="22"/>
          <w:szCs w:val="22"/>
        </w:rPr>
        <w:t>Artículo 7°.- El Poder Ejecutivo de la Ciudad Autónoma de Buenos Aires, al reglamentar la presente ley, determinará las medidas pertinentes a los efectos de lograr el más estricto cumplimiento de sus disposiciones.</w:t>
      </w:r>
    </w:p>
    <w:p w:rsidR="0009329B" w:rsidRPr="00A50201" w:rsidRDefault="0009329B" w:rsidP="00A50201">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A50201" w:rsidTr="003A2640">
        <w:trPr>
          <w:jc w:val="center"/>
        </w:trPr>
        <w:tc>
          <w:tcPr>
            <w:tcW w:w="8969" w:type="dxa"/>
            <w:gridSpan w:val="2"/>
          </w:tcPr>
          <w:p w:rsidR="0009329B" w:rsidRPr="00A50201" w:rsidRDefault="0009329B" w:rsidP="00F8176A">
            <w:pPr>
              <w:pStyle w:val="Textosinformato"/>
              <w:spacing w:before="240" w:line="360" w:lineRule="auto"/>
              <w:jc w:val="center"/>
              <w:rPr>
                <w:rFonts w:ascii="Arial" w:hAnsi="Arial" w:cs="Arial"/>
                <w:sz w:val="22"/>
                <w:u w:val="single"/>
              </w:rPr>
            </w:pPr>
            <w:r w:rsidRPr="00A50201">
              <w:rPr>
                <w:rFonts w:ascii="Arial" w:hAnsi="Arial" w:cs="Arial"/>
                <w:b/>
                <w:sz w:val="22"/>
                <w:szCs w:val="22"/>
              </w:rPr>
              <w:lastRenderedPageBreak/>
              <w:t xml:space="preserve">LEY </w:t>
            </w:r>
            <w:r w:rsidR="004B6193" w:rsidRPr="00A50201">
              <w:rPr>
                <w:rFonts w:ascii="Arial" w:hAnsi="Arial" w:cs="Arial"/>
                <w:b/>
                <w:sz w:val="22"/>
                <w:szCs w:val="22"/>
              </w:rPr>
              <w:t>G</w:t>
            </w:r>
            <w:r w:rsidR="003A2640" w:rsidRPr="00A50201">
              <w:rPr>
                <w:rFonts w:ascii="Arial" w:hAnsi="Arial" w:cs="Arial"/>
                <w:b/>
                <w:sz w:val="22"/>
                <w:szCs w:val="22"/>
              </w:rPr>
              <w:t xml:space="preserve"> </w:t>
            </w:r>
            <w:r w:rsidRPr="00A50201">
              <w:rPr>
                <w:rFonts w:ascii="Arial" w:hAnsi="Arial" w:cs="Arial"/>
                <w:b/>
                <w:sz w:val="22"/>
                <w:szCs w:val="22"/>
              </w:rPr>
              <w:t xml:space="preserve">- N° </w:t>
            </w:r>
            <w:r w:rsidR="004B6193" w:rsidRPr="00A50201">
              <w:rPr>
                <w:rFonts w:ascii="Arial" w:hAnsi="Arial" w:cs="Arial"/>
                <w:b/>
                <w:sz w:val="22"/>
                <w:szCs w:val="22"/>
              </w:rPr>
              <w:t>2</w:t>
            </w:r>
            <w:r w:rsidR="00F8176A">
              <w:rPr>
                <w:rFonts w:ascii="Arial" w:hAnsi="Arial" w:cs="Arial"/>
                <w:b/>
                <w:sz w:val="22"/>
                <w:szCs w:val="22"/>
              </w:rPr>
              <w:t>.</w:t>
            </w:r>
            <w:r w:rsidR="004B6193" w:rsidRPr="00A50201">
              <w:rPr>
                <w:rFonts w:ascii="Arial" w:hAnsi="Arial" w:cs="Arial"/>
                <w:b/>
                <w:sz w:val="22"/>
                <w:szCs w:val="22"/>
              </w:rPr>
              <w:t>489</w:t>
            </w:r>
          </w:p>
          <w:p w:rsidR="0009329B" w:rsidRPr="00A50201" w:rsidRDefault="0009329B" w:rsidP="00F8176A">
            <w:pPr>
              <w:pStyle w:val="Textosinformato"/>
              <w:spacing w:line="360" w:lineRule="auto"/>
              <w:jc w:val="center"/>
              <w:rPr>
                <w:rFonts w:ascii="Arial" w:hAnsi="Arial" w:cs="Arial"/>
                <w:b/>
                <w:sz w:val="22"/>
                <w:u w:val="single"/>
              </w:rPr>
            </w:pPr>
            <w:r w:rsidRPr="00A50201">
              <w:rPr>
                <w:rFonts w:ascii="Arial" w:hAnsi="Arial" w:cs="Arial"/>
                <w:b/>
                <w:sz w:val="22"/>
                <w:szCs w:val="22"/>
              </w:rPr>
              <w:t>TABLA DE ANTECEDENTES</w:t>
            </w:r>
          </w:p>
        </w:tc>
      </w:tr>
      <w:tr w:rsidR="0009329B" w:rsidRPr="00A50201" w:rsidTr="003A2640">
        <w:trPr>
          <w:jc w:val="center"/>
        </w:trPr>
        <w:tc>
          <w:tcPr>
            <w:tcW w:w="3780" w:type="dxa"/>
            <w:vAlign w:val="center"/>
          </w:tcPr>
          <w:p w:rsidR="0009329B" w:rsidRPr="00A50201" w:rsidRDefault="0009329B" w:rsidP="00B91AEF">
            <w:pPr>
              <w:pStyle w:val="Textosinformato"/>
              <w:spacing w:line="360" w:lineRule="auto"/>
              <w:jc w:val="center"/>
              <w:rPr>
                <w:rFonts w:ascii="Arial" w:hAnsi="Arial" w:cs="Arial"/>
                <w:b/>
                <w:sz w:val="22"/>
              </w:rPr>
            </w:pPr>
            <w:r w:rsidRPr="00A50201">
              <w:rPr>
                <w:rFonts w:ascii="Arial" w:hAnsi="Arial" w:cs="Arial"/>
                <w:b/>
                <w:sz w:val="22"/>
                <w:szCs w:val="22"/>
              </w:rPr>
              <w:t>Artículo del Texto</w:t>
            </w:r>
            <w:r w:rsidR="00B91AEF">
              <w:rPr>
                <w:rFonts w:ascii="Arial" w:hAnsi="Arial" w:cs="Arial"/>
                <w:b/>
                <w:sz w:val="22"/>
                <w:szCs w:val="22"/>
              </w:rPr>
              <w:t xml:space="preserve"> </w:t>
            </w:r>
            <w:r w:rsidRPr="00A50201">
              <w:rPr>
                <w:rFonts w:ascii="Arial" w:hAnsi="Arial" w:cs="Arial"/>
                <w:b/>
                <w:sz w:val="22"/>
                <w:szCs w:val="22"/>
              </w:rPr>
              <w:t>Definitivo</w:t>
            </w:r>
          </w:p>
        </w:tc>
        <w:tc>
          <w:tcPr>
            <w:tcW w:w="5189" w:type="dxa"/>
            <w:vAlign w:val="center"/>
          </w:tcPr>
          <w:p w:rsidR="0009329B" w:rsidRPr="00A50201" w:rsidRDefault="0009329B" w:rsidP="00A50201">
            <w:pPr>
              <w:pStyle w:val="Textosinformato"/>
              <w:spacing w:line="360" w:lineRule="auto"/>
              <w:jc w:val="center"/>
              <w:rPr>
                <w:rFonts w:ascii="Arial" w:hAnsi="Arial" w:cs="Arial"/>
                <w:b/>
                <w:sz w:val="22"/>
              </w:rPr>
            </w:pPr>
            <w:r w:rsidRPr="00A50201">
              <w:rPr>
                <w:rFonts w:ascii="Arial" w:hAnsi="Arial" w:cs="Arial"/>
                <w:b/>
                <w:sz w:val="22"/>
                <w:szCs w:val="22"/>
              </w:rPr>
              <w:t>Fuente</w:t>
            </w:r>
          </w:p>
        </w:tc>
      </w:tr>
      <w:tr w:rsidR="0009329B" w:rsidRPr="00A50201" w:rsidTr="003A2640">
        <w:trPr>
          <w:trHeight w:val="555"/>
          <w:jc w:val="center"/>
        </w:trPr>
        <w:tc>
          <w:tcPr>
            <w:tcW w:w="8969" w:type="dxa"/>
            <w:gridSpan w:val="2"/>
          </w:tcPr>
          <w:p w:rsidR="0009329B" w:rsidRPr="00A50201" w:rsidRDefault="0009329B" w:rsidP="00F8176A">
            <w:pPr>
              <w:pStyle w:val="Textosinformato"/>
              <w:spacing w:line="360" w:lineRule="auto"/>
              <w:jc w:val="center"/>
              <w:rPr>
                <w:rFonts w:ascii="Arial" w:hAnsi="Arial" w:cs="Arial"/>
                <w:sz w:val="22"/>
              </w:rPr>
            </w:pPr>
            <w:r w:rsidRPr="00A50201">
              <w:rPr>
                <w:rFonts w:ascii="Arial" w:hAnsi="Arial" w:cs="Arial"/>
                <w:sz w:val="22"/>
                <w:szCs w:val="22"/>
              </w:rPr>
              <w:t xml:space="preserve">Todos los artículos de este texto definitivo provienen del texto original de la Ley </w:t>
            </w:r>
            <w:r w:rsidR="00F8176A">
              <w:rPr>
                <w:rFonts w:ascii="Arial" w:hAnsi="Arial" w:cs="Arial"/>
                <w:sz w:val="22"/>
                <w:szCs w:val="22"/>
              </w:rPr>
              <w:t xml:space="preserve">N° </w:t>
            </w:r>
            <w:r w:rsidR="004B6193" w:rsidRPr="00A50201">
              <w:rPr>
                <w:rFonts w:ascii="Arial" w:hAnsi="Arial" w:cs="Arial"/>
                <w:sz w:val="22"/>
                <w:szCs w:val="22"/>
              </w:rPr>
              <w:t>2</w:t>
            </w:r>
            <w:r w:rsidR="00F8176A">
              <w:rPr>
                <w:rFonts w:ascii="Arial" w:hAnsi="Arial" w:cs="Arial"/>
                <w:sz w:val="22"/>
                <w:szCs w:val="22"/>
              </w:rPr>
              <w:t>.</w:t>
            </w:r>
            <w:r w:rsidR="004B6193" w:rsidRPr="00A50201">
              <w:rPr>
                <w:rFonts w:ascii="Arial" w:hAnsi="Arial" w:cs="Arial"/>
                <w:sz w:val="22"/>
                <w:szCs w:val="22"/>
              </w:rPr>
              <w:t>489</w:t>
            </w:r>
            <w:r w:rsidRPr="00A50201">
              <w:rPr>
                <w:rFonts w:ascii="Arial" w:hAnsi="Arial" w:cs="Arial"/>
                <w:sz w:val="22"/>
                <w:szCs w:val="22"/>
              </w:rPr>
              <w:t>.</w:t>
            </w:r>
          </w:p>
        </w:tc>
      </w:tr>
    </w:tbl>
    <w:p w:rsidR="00F8176A" w:rsidRDefault="00F8176A" w:rsidP="00A50201">
      <w:pPr>
        <w:spacing w:line="360" w:lineRule="auto"/>
        <w:rPr>
          <w:rFonts w:ascii="Arial" w:hAnsi="Arial" w:cs="Arial"/>
          <w:b/>
          <w:sz w:val="22"/>
          <w:szCs w:val="22"/>
        </w:rPr>
      </w:pPr>
    </w:p>
    <w:p w:rsidR="004B6193" w:rsidRPr="00A50201" w:rsidRDefault="00F8176A" w:rsidP="00A50201">
      <w:pPr>
        <w:spacing w:line="360" w:lineRule="auto"/>
        <w:rPr>
          <w:rFonts w:ascii="Arial" w:hAnsi="Arial" w:cs="Arial"/>
          <w:b/>
          <w:sz w:val="22"/>
          <w:szCs w:val="22"/>
        </w:rPr>
      </w:pPr>
      <w:r>
        <w:rPr>
          <w:rFonts w:ascii="Arial" w:hAnsi="Arial" w:cs="Arial"/>
          <w:b/>
          <w:sz w:val="22"/>
          <w:szCs w:val="22"/>
        </w:rPr>
        <w:t>Artículos suprimidos</w:t>
      </w:r>
    </w:p>
    <w:p w:rsidR="004B6193" w:rsidRPr="00A50201" w:rsidRDefault="004B6193" w:rsidP="00A50201">
      <w:pPr>
        <w:spacing w:line="360" w:lineRule="auto"/>
        <w:rPr>
          <w:rFonts w:ascii="Arial" w:hAnsi="Arial" w:cs="Arial"/>
          <w:sz w:val="22"/>
          <w:szCs w:val="22"/>
        </w:rPr>
      </w:pPr>
      <w:r w:rsidRPr="00F8176A">
        <w:rPr>
          <w:rFonts w:ascii="Arial" w:hAnsi="Arial" w:cs="Arial"/>
          <w:b/>
          <w:sz w:val="22"/>
          <w:szCs w:val="22"/>
        </w:rPr>
        <w:t>Anterior art. 8°:-</w:t>
      </w:r>
      <w:r w:rsidRPr="00A50201">
        <w:rPr>
          <w:rFonts w:ascii="Arial" w:hAnsi="Arial" w:cs="Arial"/>
          <w:sz w:val="22"/>
          <w:szCs w:val="22"/>
        </w:rPr>
        <w:t xml:space="preserve"> Caducidad por objeto cumplido.</w:t>
      </w:r>
    </w:p>
    <w:p w:rsidR="0009329B" w:rsidRPr="00A50201" w:rsidRDefault="0009329B" w:rsidP="00A50201">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A50201" w:rsidTr="003A2640">
        <w:trPr>
          <w:jc w:val="center"/>
        </w:trPr>
        <w:tc>
          <w:tcPr>
            <w:tcW w:w="8969" w:type="dxa"/>
            <w:gridSpan w:val="3"/>
          </w:tcPr>
          <w:p w:rsidR="0009329B" w:rsidRPr="00A50201" w:rsidRDefault="0009329B" w:rsidP="00F8176A">
            <w:pPr>
              <w:pStyle w:val="Textosinformato"/>
              <w:spacing w:before="240" w:line="360" w:lineRule="auto"/>
              <w:jc w:val="center"/>
              <w:rPr>
                <w:rFonts w:ascii="Arial" w:hAnsi="Arial" w:cs="Arial"/>
                <w:b/>
                <w:sz w:val="22"/>
              </w:rPr>
            </w:pPr>
            <w:r w:rsidRPr="00A50201">
              <w:rPr>
                <w:rFonts w:ascii="Arial" w:hAnsi="Arial" w:cs="Arial"/>
                <w:b/>
                <w:sz w:val="22"/>
                <w:szCs w:val="22"/>
              </w:rPr>
              <w:t xml:space="preserve">LEY </w:t>
            </w:r>
            <w:r w:rsidR="004B6193" w:rsidRPr="00A50201">
              <w:rPr>
                <w:rFonts w:ascii="Arial" w:hAnsi="Arial" w:cs="Arial"/>
                <w:b/>
                <w:sz w:val="22"/>
                <w:szCs w:val="22"/>
              </w:rPr>
              <w:t xml:space="preserve">G </w:t>
            </w:r>
            <w:r w:rsidRPr="00A50201">
              <w:rPr>
                <w:rFonts w:ascii="Arial" w:hAnsi="Arial" w:cs="Arial"/>
                <w:b/>
                <w:sz w:val="22"/>
                <w:szCs w:val="22"/>
              </w:rPr>
              <w:t xml:space="preserve">- N° </w:t>
            </w:r>
            <w:r w:rsidR="004B6193" w:rsidRPr="00A50201">
              <w:rPr>
                <w:rFonts w:ascii="Arial" w:hAnsi="Arial" w:cs="Arial"/>
                <w:b/>
                <w:sz w:val="22"/>
                <w:szCs w:val="22"/>
              </w:rPr>
              <w:t>2</w:t>
            </w:r>
            <w:r w:rsidR="00F8176A">
              <w:rPr>
                <w:rFonts w:ascii="Arial" w:hAnsi="Arial" w:cs="Arial"/>
                <w:b/>
                <w:sz w:val="22"/>
                <w:szCs w:val="22"/>
              </w:rPr>
              <w:t>.</w:t>
            </w:r>
            <w:r w:rsidR="004B6193" w:rsidRPr="00A50201">
              <w:rPr>
                <w:rFonts w:ascii="Arial" w:hAnsi="Arial" w:cs="Arial"/>
                <w:b/>
                <w:sz w:val="22"/>
                <w:szCs w:val="22"/>
              </w:rPr>
              <w:t>489</w:t>
            </w:r>
          </w:p>
          <w:p w:rsidR="0009329B" w:rsidRPr="00A50201" w:rsidRDefault="0009329B" w:rsidP="00F8176A">
            <w:pPr>
              <w:pStyle w:val="Textosinformato"/>
              <w:spacing w:line="360" w:lineRule="auto"/>
              <w:jc w:val="center"/>
              <w:rPr>
                <w:rFonts w:ascii="Arial" w:hAnsi="Arial" w:cs="Arial"/>
                <w:sz w:val="22"/>
              </w:rPr>
            </w:pPr>
            <w:r w:rsidRPr="00A50201">
              <w:rPr>
                <w:rFonts w:ascii="Arial" w:hAnsi="Arial" w:cs="Arial"/>
                <w:b/>
                <w:sz w:val="22"/>
                <w:szCs w:val="22"/>
              </w:rPr>
              <w:t>TABLA DE EQUIVALENCIAS</w:t>
            </w:r>
          </w:p>
        </w:tc>
      </w:tr>
      <w:tr w:rsidR="0009329B" w:rsidRPr="00A50201" w:rsidTr="003A2640">
        <w:trPr>
          <w:jc w:val="center"/>
        </w:trPr>
        <w:tc>
          <w:tcPr>
            <w:tcW w:w="3090" w:type="dxa"/>
            <w:vAlign w:val="center"/>
          </w:tcPr>
          <w:p w:rsidR="0009329B" w:rsidRPr="00A50201" w:rsidRDefault="0009329B" w:rsidP="00A50201">
            <w:pPr>
              <w:spacing w:line="360" w:lineRule="auto"/>
              <w:jc w:val="center"/>
              <w:rPr>
                <w:rFonts w:ascii="Arial" w:hAnsi="Arial" w:cs="Arial"/>
                <w:b/>
              </w:rPr>
            </w:pPr>
            <w:r w:rsidRPr="00A50201">
              <w:rPr>
                <w:rFonts w:ascii="Arial" w:hAnsi="Arial" w:cs="Arial"/>
                <w:b/>
                <w:sz w:val="22"/>
                <w:szCs w:val="22"/>
              </w:rPr>
              <w:t>Número de artículo</w:t>
            </w:r>
          </w:p>
          <w:p w:rsidR="0009329B" w:rsidRPr="00A50201" w:rsidRDefault="0009329B" w:rsidP="00A50201">
            <w:pPr>
              <w:spacing w:line="360" w:lineRule="auto"/>
              <w:jc w:val="center"/>
              <w:rPr>
                <w:rFonts w:ascii="Arial" w:hAnsi="Arial" w:cs="Arial"/>
                <w:b/>
              </w:rPr>
            </w:pPr>
            <w:r w:rsidRPr="00A50201">
              <w:rPr>
                <w:rFonts w:ascii="Arial" w:hAnsi="Arial" w:cs="Arial"/>
                <w:b/>
                <w:sz w:val="22"/>
                <w:szCs w:val="22"/>
              </w:rPr>
              <w:t>del Texto Definitivo</w:t>
            </w:r>
          </w:p>
        </w:tc>
        <w:tc>
          <w:tcPr>
            <w:tcW w:w="2850" w:type="dxa"/>
            <w:vAlign w:val="center"/>
          </w:tcPr>
          <w:p w:rsidR="0009329B" w:rsidRPr="00A50201" w:rsidRDefault="0009329B" w:rsidP="00A50201">
            <w:pPr>
              <w:spacing w:line="360" w:lineRule="auto"/>
              <w:jc w:val="center"/>
              <w:rPr>
                <w:rFonts w:ascii="Arial" w:hAnsi="Arial" w:cs="Arial"/>
                <w:b/>
              </w:rPr>
            </w:pPr>
            <w:r w:rsidRPr="00A50201">
              <w:rPr>
                <w:rFonts w:ascii="Arial" w:hAnsi="Arial" w:cs="Arial"/>
                <w:b/>
                <w:sz w:val="22"/>
                <w:szCs w:val="22"/>
              </w:rPr>
              <w:t>Número de artículo</w:t>
            </w:r>
          </w:p>
          <w:p w:rsidR="0009329B" w:rsidRPr="00A50201" w:rsidRDefault="003A2640" w:rsidP="00A50201">
            <w:pPr>
              <w:spacing w:line="360" w:lineRule="auto"/>
              <w:jc w:val="center"/>
              <w:rPr>
                <w:rFonts w:ascii="Arial" w:hAnsi="Arial" w:cs="Arial"/>
                <w:b/>
              </w:rPr>
            </w:pPr>
            <w:r w:rsidRPr="00A50201">
              <w:rPr>
                <w:rFonts w:ascii="Arial" w:hAnsi="Arial" w:cs="Arial"/>
                <w:b/>
                <w:sz w:val="22"/>
                <w:szCs w:val="22"/>
              </w:rPr>
              <w:t xml:space="preserve">del Texto de Referencia (Ley </w:t>
            </w:r>
            <w:r w:rsidR="004B6193" w:rsidRPr="00A50201">
              <w:rPr>
                <w:rFonts w:ascii="Arial" w:hAnsi="Arial" w:cs="Arial"/>
                <w:b/>
                <w:sz w:val="22"/>
                <w:szCs w:val="22"/>
              </w:rPr>
              <w:t>2</w:t>
            </w:r>
            <w:r w:rsidR="00F8176A">
              <w:rPr>
                <w:rFonts w:ascii="Arial" w:hAnsi="Arial" w:cs="Arial"/>
                <w:b/>
                <w:sz w:val="22"/>
                <w:szCs w:val="22"/>
              </w:rPr>
              <w:t>.</w:t>
            </w:r>
            <w:r w:rsidR="004B6193" w:rsidRPr="00A50201">
              <w:rPr>
                <w:rFonts w:ascii="Arial" w:hAnsi="Arial" w:cs="Arial"/>
                <w:b/>
                <w:sz w:val="22"/>
                <w:szCs w:val="22"/>
              </w:rPr>
              <w:t>489</w:t>
            </w:r>
            <w:r w:rsidR="0009329B" w:rsidRPr="00A50201">
              <w:rPr>
                <w:rFonts w:ascii="Arial" w:hAnsi="Arial" w:cs="Arial"/>
                <w:b/>
                <w:sz w:val="22"/>
                <w:szCs w:val="22"/>
              </w:rPr>
              <w:t>)</w:t>
            </w:r>
          </w:p>
        </w:tc>
        <w:tc>
          <w:tcPr>
            <w:tcW w:w="3029" w:type="dxa"/>
            <w:vAlign w:val="center"/>
          </w:tcPr>
          <w:p w:rsidR="0009329B" w:rsidRPr="00A50201" w:rsidRDefault="0009329B" w:rsidP="00A50201">
            <w:pPr>
              <w:spacing w:line="360" w:lineRule="auto"/>
              <w:jc w:val="center"/>
              <w:rPr>
                <w:rFonts w:ascii="Arial" w:hAnsi="Arial" w:cs="Arial"/>
                <w:b/>
              </w:rPr>
            </w:pPr>
            <w:r w:rsidRPr="00A50201">
              <w:rPr>
                <w:rFonts w:ascii="Arial" w:hAnsi="Arial" w:cs="Arial"/>
                <w:b/>
                <w:sz w:val="22"/>
                <w:szCs w:val="22"/>
              </w:rPr>
              <w:t>Observaciones</w:t>
            </w:r>
          </w:p>
        </w:tc>
      </w:tr>
      <w:tr w:rsidR="0009329B" w:rsidRPr="00A50201" w:rsidTr="003A2640">
        <w:trPr>
          <w:jc w:val="center"/>
        </w:trPr>
        <w:tc>
          <w:tcPr>
            <w:tcW w:w="8969" w:type="dxa"/>
            <w:gridSpan w:val="3"/>
          </w:tcPr>
          <w:p w:rsidR="0009329B" w:rsidRPr="00A50201" w:rsidRDefault="0009329B" w:rsidP="00A50201">
            <w:pPr>
              <w:spacing w:line="360" w:lineRule="auto"/>
              <w:jc w:val="center"/>
              <w:rPr>
                <w:rFonts w:ascii="Arial" w:hAnsi="Arial" w:cs="Arial"/>
              </w:rPr>
            </w:pPr>
            <w:r w:rsidRPr="00A50201">
              <w:rPr>
                <w:rFonts w:ascii="Arial" w:hAnsi="Arial" w:cs="Arial"/>
                <w:sz w:val="22"/>
                <w:szCs w:val="22"/>
              </w:rPr>
              <w:t xml:space="preserve">La numeración de los artículos del Texto Definitivo corresponde a la numeración original de la Ley </w:t>
            </w:r>
            <w:r w:rsidR="00F8176A">
              <w:rPr>
                <w:rFonts w:ascii="Arial" w:hAnsi="Arial" w:cs="Arial"/>
                <w:sz w:val="22"/>
                <w:szCs w:val="22"/>
              </w:rPr>
              <w:t xml:space="preserve">N° </w:t>
            </w:r>
            <w:r w:rsidR="004B6193" w:rsidRPr="00A50201">
              <w:rPr>
                <w:rFonts w:ascii="Arial" w:hAnsi="Arial" w:cs="Arial"/>
                <w:sz w:val="22"/>
                <w:szCs w:val="22"/>
              </w:rPr>
              <w:t>2</w:t>
            </w:r>
            <w:r w:rsidR="00F8176A">
              <w:rPr>
                <w:rFonts w:ascii="Arial" w:hAnsi="Arial" w:cs="Arial"/>
                <w:sz w:val="22"/>
                <w:szCs w:val="22"/>
              </w:rPr>
              <w:t>.</w:t>
            </w:r>
            <w:r w:rsidR="004B6193" w:rsidRPr="00A50201">
              <w:rPr>
                <w:rFonts w:ascii="Arial" w:hAnsi="Arial" w:cs="Arial"/>
                <w:sz w:val="22"/>
                <w:szCs w:val="22"/>
              </w:rPr>
              <w:t>489</w:t>
            </w:r>
            <w:r w:rsidRPr="00A50201">
              <w:rPr>
                <w:rFonts w:ascii="Arial" w:hAnsi="Arial" w:cs="Arial"/>
                <w:sz w:val="22"/>
                <w:szCs w:val="22"/>
              </w:rPr>
              <w:t>.</w:t>
            </w:r>
          </w:p>
        </w:tc>
      </w:tr>
    </w:tbl>
    <w:p w:rsidR="0009329B" w:rsidRPr="00A50201" w:rsidRDefault="0009329B" w:rsidP="00A50201">
      <w:pPr>
        <w:spacing w:line="360" w:lineRule="auto"/>
        <w:rPr>
          <w:rFonts w:ascii="Arial" w:hAnsi="Arial" w:cs="Arial"/>
          <w:sz w:val="22"/>
          <w:szCs w:val="22"/>
        </w:rPr>
      </w:pPr>
    </w:p>
    <w:p w:rsidR="0009329B" w:rsidRPr="00A50201" w:rsidRDefault="00F914CB" w:rsidP="00A50201">
      <w:pPr>
        <w:spacing w:line="360" w:lineRule="auto"/>
        <w:rPr>
          <w:rFonts w:ascii="Arial" w:hAnsi="Arial" w:cs="Arial"/>
          <w:b/>
          <w:sz w:val="22"/>
          <w:szCs w:val="22"/>
        </w:rPr>
      </w:pPr>
      <w:r w:rsidRPr="00A50201">
        <w:rPr>
          <w:rFonts w:ascii="Arial" w:hAnsi="Arial" w:cs="Arial"/>
          <w:b/>
          <w:sz w:val="22"/>
          <w:szCs w:val="22"/>
          <w:u w:val="single"/>
        </w:rPr>
        <w:t>Observaciones Generales</w:t>
      </w:r>
      <w:r w:rsidRPr="00A50201">
        <w:rPr>
          <w:rFonts w:ascii="Arial" w:hAnsi="Arial" w:cs="Arial"/>
          <w:b/>
          <w:sz w:val="22"/>
          <w:szCs w:val="22"/>
        </w:rPr>
        <w:t>:</w:t>
      </w:r>
    </w:p>
    <w:p w:rsidR="004B6193" w:rsidRPr="00A50201" w:rsidRDefault="004B6193" w:rsidP="00A50201">
      <w:pPr>
        <w:spacing w:line="360" w:lineRule="auto"/>
        <w:rPr>
          <w:rFonts w:ascii="Arial" w:hAnsi="Arial" w:cs="Arial"/>
          <w:sz w:val="22"/>
          <w:szCs w:val="22"/>
        </w:rPr>
      </w:pPr>
      <w:r w:rsidRPr="00A50201">
        <w:rPr>
          <w:rFonts w:ascii="Arial" w:hAnsi="Arial"/>
          <w:sz w:val="22"/>
          <w:szCs w:val="22"/>
        </w:rPr>
        <w:t># La presente Norma contiene remisiones externas #</w:t>
      </w:r>
    </w:p>
    <w:sectPr w:rsidR="004B6193" w:rsidRPr="00A50201" w:rsidSect="00A5020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B476A"/>
    <w:rsid w:val="002D2DC8"/>
    <w:rsid w:val="00333DA6"/>
    <w:rsid w:val="003A2640"/>
    <w:rsid w:val="004A7641"/>
    <w:rsid w:val="004B6193"/>
    <w:rsid w:val="005C0D00"/>
    <w:rsid w:val="005D403A"/>
    <w:rsid w:val="006506AC"/>
    <w:rsid w:val="006B1B39"/>
    <w:rsid w:val="00A476C0"/>
    <w:rsid w:val="00A50201"/>
    <w:rsid w:val="00AA74C0"/>
    <w:rsid w:val="00AC6262"/>
    <w:rsid w:val="00B91AEF"/>
    <w:rsid w:val="00BF0F88"/>
    <w:rsid w:val="00C67C06"/>
    <w:rsid w:val="00DF25E2"/>
    <w:rsid w:val="00F76F73"/>
    <w:rsid w:val="00F8176A"/>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430</Words>
  <Characters>2365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2015-09-25T18:31:00Z</dcterms:modified>
</cp:coreProperties>
</file>