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7E" w:rsidRDefault="00392D7E" w:rsidP="00E61DB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61DBE">
        <w:rPr>
          <w:rFonts w:ascii="Arial" w:hAnsi="Arial" w:cs="Arial"/>
          <w:b/>
          <w:sz w:val="22"/>
          <w:szCs w:val="22"/>
        </w:rPr>
        <w:t>2007-11-1044</w:t>
      </w:r>
    </w:p>
    <w:p w:rsidR="003C1995" w:rsidRPr="00E61DBE" w:rsidRDefault="003C1995" w:rsidP="00E61DB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92D7E" w:rsidRPr="00E61DBE" w:rsidRDefault="003C1995" w:rsidP="003C199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61DBE">
        <w:rPr>
          <w:rFonts w:ascii="Arial" w:hAnsi="Arial" w:cs="Arial"/>
          <w:b/>
          <w:sz w:val="22"/>
          <w:szCs w:val="22"/>
        </w:rPr>
        <w:t>LEY M – Nº 2</w:t>
      </w:r>
      <w:r>
        <w:rPr>
          <w:rFonts w:ascii="Arial" w:hAnsi="Arial" w:cs="Arial"/>
          <w:b/>
          <w:sz w:val="22"/>
          <w:szCs w:val="22"/>
        </w:rPr>
        <w:t>.</w:t>
      </w:r>
      <w:r w:rsidRPr="00E61DBE">
        <w:rPr>
          <w:rFonts w:ascii="Arial" w:hAnsi="Arial" w:cs="Arial"/>
          <w:b/>
          <w:sz w:val="22"/>
          <w:szCs w:val="22"/>
        </w:rPr>
        <w:t>457</w:t>
      </w:r>
    </w:p>
    <w:p w:rsidR="00392D7E" w:rsidRPr="00E61DBE" w:rsidRDefault="00392D7E" w:rsidP="00E61DBE">
      <w:pPr>
        <w:spacing w:line="360" w:lineRule="auto"/>
        <w:rPr>
          <w:rStyle w:val="Textoennegrita"/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1°.-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El Ministro de Planeamiento y Obras Públicas, o el organismo que lo reemplace, procederá a la señalización de los inmuebles catalogados y de los Distritos Áreas de Protección Histórica (APH), existentes al momento de la promulgación de la presente y de los que se incorporen en el futuro.</w:t>
      </w:r>
    </w:p>
    <w:p w:rsidR="00392D7E" w:rsidRPr="00E61DBE" w:rsidRDefault="00392D7E" w:rsidP="00E61DBE">
      <w:pPr>
        <w:spacing w:line="360" w:lineRule="auto"/>
        <w:jc w:val="both"/>
        <w:rPr>
          <w:rStyle w:val="Textoennegrita"/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2°.</w:t>
      </w:r>
      <w:r w:rsidRPr="00E61DBE">
        <w:rPr>
          <w:rFonts w:ascii="Arial" w:hAnsi="Arial" w:cs="Arial"/>
          <w:b/>
          <w:color w:val="000000"/>
          <w:sz w:val="22"/>
          <w:szCs w:val="22"/>
        </w:rPr>
        <w:t>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En el frente de los edificios catalogados se colocará una placa, cuyos textos posibles se sugieren a continuación. Su colocación será determinada por el organism</w:t>
      </w:r>
      <w:r w:rsidR="00336545" w:rsidRPr="00E61DBE">
        <w:rPr>
          <w:rFonts w:ascii="Arial" w:hAnsi="Arial" w:cs="Arial"/>
          <w:color w:val="000000"/>
          <w:sz w:val="22"/>
          <w:szCs w:val="22"/>
        </w:rPr>
        <w:t>o de aplicación de la presente L</w:t>
      </w:r>
      <w:r w:rsidRPr="00E61DBE">
        <w:rPr>
          <w:rFonts w:ascii="Arial" w:hAnsi="Arial" w:cs="Arial"/>
          <w:color w:val="000000"/>
          <w:sz w:val="22"/>
          <w:szCs w:val="22"/>
        </w:rPr>
        <w:t>ey en función de las características particulares de cada inmueble:</w:t>
      </w:r>
    </w:p>
    <w:p w:rsidR="00392D7E" w:rsidRPr="00E61DBE" w:rsidRDefault="00392D7E" w:rsidP="00E61DBE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center"/>
        <w:rPr>
          <w:rStyle w:val="nfasis"/>
          <w:rFonts w:ascii="Arial" w:hAnsi="Arial" w:cs="Arial"/>
          <w:color w:val="000000"/>
          <w:sz w:val="22"/>
          <w:szCs w:val="22"/>
        </w:rPr>
      </w:pP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"Edificio de valor patrimonial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Catalogado "Nivel de Protección"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N° de inventario Ley N</w:t>
      </w:r>
      <w:proofErr w:type="gramStart"/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° ...</w:t>
      </w:r>
      <w:proofErr w:type="gramEnd"/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- fecha..."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"Edificio de valor patrimonial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Catalogado "Nivel de Protección"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N° de Inventario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Ley N</w:t>
      </w:r>
      <w:proofErr w:type="gramStart"/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° ...</w:t>
      </w:r>
      <w:proofErr w:type="gramEnd"/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- Fecha...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Año de construcción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Autor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Propietario original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Corriente estilística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Otros"</w:t>
      </w:r>
    </w:p>
    <w:p w:rsidR="00392D7E" w:rsidRPr="00E61DBE" w:rsidRDefault="00392D7E" w:rsidP="00E61DBE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Fonts w:ascii="Arial" w:hAnsi="Arial" w:cs="Arial"/>
          <w:color w:val="000000"/>
          <w:sz w:val="22"/>
          <w:szCs w:val="22"/>
        </w:rPr>
        <w:t>Cuando la colocación de la placa pueda desvirtuar el valor patrimonial del inmueble, las placas serán colocadas sobre la acera frente a la puerta de acceso al mismo.</w:t>
      </w: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3°.</w:t>
      </w:r>
      <w:r w:rsidRPr="00E61DBE">
        <w:rPr>
          <w:rFonts w:ascii="Arial" w:hAnsi="Arial" w:cs="Arial"/>
          <w:b/>
          <w:color w:val="000000"/>
          <w:sz w:val="22"/>
          <w:szCs w:val="22"/>
        </w:rPr>
        <w:t>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Los Distritos APH serán señalizados con un cartel tipo poste colocado sobre la acera indicándose los siguientes datos, no excluyentes:</w:t>
      </w: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center"/>
        <w:rPr>
          <w:rStyle w:val="nfasis"/>
          <w:rFonts w:ascii="Arial" w:hAnsi="Arial" w:cs="Arial"/>
          <w:color w:val="000000"/>
          <w:sz w:val="22"/>
          <w:szCs w:val="22"/>
        </w:rPr>
      </w:pP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"Área de Protección Patrimonial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Distrito APH N°...-Nombre...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Plano de delimitación indicando los inmuebles catalogados del distrito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Descripción de sus características particulares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Ley N°... - Fecha...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lastRenderedPageBreak/>
        <w:t>Barrio</w:t>
      </w:r>
      <w:r w:rsidRPr="00E61DBE">
        <w:rPr>
          <w:rFonts w:ascii="Arial" w:hAnsi="Arial" w:cs="Arial"/>
          <w:i/>
          <w:color w:val="000000"/>
          <w:sz w:val="22"/>
          <w:szCs w:val="22"/>
        </w:rPr>
        <w:br/>
      </w:r>
      <w:r w:rsidRPr="00E61DBE">
        <w:rPr>
          <w:rStyle w:val="nfasis"/>
          <w:rFonts w:ascii="Arial" w:hAnsi="Arial" w:cs="Arial"/>
          <w:color w:val="000000"/>
          <w:sz w:val="22"/>
          <w:szCs w:val="22"/>
        </w:rPr>
        <w:t>Comuna"</w:t>
      </w:r>
    </w:p>
    <w:p w:rsidR="00392D7E" w:rsidRPr="00E61DBE" w:rsidRDefault="00392D7E" w:rsidP="00E61DBE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Fonts w:ascii="Arial" w:hAnsi="Arial" w:cs="Arial"/>
          <w:color w:val="000000"/>
          <w:sz w:val="22"/>
          <w:szCs w:val="22"/>
        </w:rPr>
        <w:t>La cantidad de carteles y el lugar de su colocación serán determinados por órgano de aplicación de la Protección Patrimonial, según el Código de Planeamiento Urbano, quien además establecerá la cantidad de carteles a colocar en el distrito según las características y dimensiones de cada APH.</w:t>
      </w: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4°.</w:t>
      </w:r>
      <w:r w:rsidRPr="00E61DBE">
        <w:rPr>
          <w:rFonts w:ascii="Arial" w:hAnsi="Arial" w:cs="Arial"/>
          <w:b/>
          <w:color w:val="000000"/>
          <w:sz w:val="22"/>
          <w:szCs w:val="22"/>
        </w:rPr>
        <w:t>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El Poder Ejecutivo de la Ciudad Autónoma de Buenos Aires ordenará la confección de un catastro con todos los datos de las placas y carteles que se vayan colocando y todos los años, antes del 31 de marzo de cada año enviará a esta Legislatura la nómina de las modificaciones que se vayan produciendo en el calendario anterior. Por esta única vez enviará el listado total de los inmuebles catalogados y Distritos APH a los que alude la presente ley.</w:t>
      </w: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5°.</w:t>
      </w:r>
      <w:r w:rsidRPr="00E61DBE">
        <w:rPr>
          <w:rFonts w:ascii="Arial" w:hAnsi="Arial" w:cs="Arial"/>
          <w:b/>
          <w:color w:val="000000"/>
          <w:sz w:val="22"/>
          <w:szCs w:val="22"/>
        </w:rPr>
        <w:t>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El Poder Ejecutivo realizará en el término de 180 días de promulgada la presente ley por todo concepto, un concurso para la determinación de la imagen a adoptar para las placas y carteles mencionadas en los arts. 2° y 3°, que estará dirigido a profesionales y estudiantes avanzados de la carrera de diseño gráfico.</w:t>
      </w:r>
    </w:p>
    <w:p w:rsidR="00392D7E" w:rsidRPr="00E61DBE" w:rsidRDefault="00392D7E" w:rsidP="00E61DBE">
      <w:pPr>
        <w:spacing w:line="360" w:lineRule="auto"/>
        <w:jc w:val="both"/>
        <w:rPr>
          <w:rStyle w:val="Textoennegrita"/>
          <w:rFonts w:ascii="Arial" w:hAnsi="Arial" w:cs="Arial"/>
          <w:color w:val="000000"/>
          <w:sz w:val="22"/>
          <w:szCs w:val="22"/>
        </w:rPr>
      </w:pPr>
    </w:p>
    <w:p w:rsidR="00392D7E" w:rsidRPr="00E61DBE" w:rsidRDefault="00392D7E" w:rsidP="00E61DB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1DBE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6º.</w:t>
      </w:r>
      <w:r w:rsidRPr="00E61DBE">
        <w:rPr>
          <w:rFonts w:ascii="Arial" w:hAnsi="Arial" w:cs="Arial"/>
          <w:b/>
          <w:color w:val="000000"/>
          <w:sz w:val="22"/>
          <w:szCs w:val="22"/>
        </w:rPr>
        <w:t>-</w:t>
      </w:r>
      <w:r w:rsidRPr="00E61DBE">
        <w:rPr>
          <w:rFonts w:ascii="Arial" w:hAnsi="Arial" w:cs="Arial"/>
          <w:color w:val="000000"/>
          <w:sz w:val="22"/>
          <w:szCs w:val="22"/>
        </w:rPr>
        <w:t xml:space="preserve"> Las tareas previstas en el art. 1° deberán realizarse dentro de los 180 días de finalizado el plazo para la realización del concurso establecido en el art. 5°. En caso de no haberse concretado dicho concurso en el plazo previsto se procederá a cumplimentar lo establecido en el art. 1° colocando placas y carteles que se adecuen a los lineamientos que el Gobierno de la Ciudad de Buenos Aires establezca para el mobiliario urbano.</w:t>
      </w:r>
    </w:p>
    <w:p w:rsidR="00EB33D5" w:rsidRPr="00E61DBE" w:rsidRDefault="00EB33D5" w:rsidP="00E61DBE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69360A" w:rsidRPr="00E61DBE" w:rsidTr="00E61DBE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360A" w:rsidRPr="00E61DBE" w:rsidRDefault="0069360A" w:rsidP="00E61DB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</w:rPr>
              <w:t>LEY M - N°  2</w:t>
            </w:r>
            <w:r w:rsidR="00E61D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61DBE">
              <w:rPr>
                <w:rFonts w:ascii="Arial" w:hAnsi="Arial" w:cs="Arial"/>
                <w:b/>
                <w:sz w:val="22"/>
                <w:szCs w:val="22"/>
              </w:rPr>
              <w:t>457</w:t>
            </w:r>
          </w:p>
          <w:p w:rsidR="0069360A" w:rsidRPr="00E61DBE" w:rsidRDefault="0069360A" w:rsidP="00E61D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9360A" w:rsidRPr="00E61DBE" w:rsidTr="00E61DBE">
        <w:trPr>
          <w:jc w:val="center"/>
        </w:trPr>
        <w:tc>
          <w:tcPr>
            <w:tcW w:w="37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360A" w:rsidRPr="00E61DBE" w:rsidRDefault="0069360A" w:rsidP="003C199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3C199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1DB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9360A" w:rsidRPr="00E61DBE" w:rsidRDefault="0069360A" w:rsidP="00E61D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9360A" w:rsidRPr="00E61DBE" w:rsidTr="00E61DBE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0A" w:rsidRPr="00E61DBE" w:rsidRDefault="0069360A" w:rsidP="00E61D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1DB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2</w:t>
            </w:r>
            <w:r w:rsidR="003C1995">
              <w:rPr>
                <w:rFonts w:ascii="Arial" w:hAnsi="Arial" w:cs="Arial"/>
                <w:sz w:val="22"/>
                <w:szCs w:val="22"/>
              </w:rPr>
              <w:t>.</w:t>
            </w:r>
            <w:r w:rsidRPr="00E61DBE">
              <w:rPr>
                <w:rFonts w:ascii="Arial" w:hAnsi="Arial" w:cs="Arial"/>
                <w:sz w:val="22"/>
                <w:szCs w:val="22"/>
              </w:rPr>
              <w:t>457.</w:t>
            </w:r>
          </w:p>
          <w:p w:rsidR="0069360A" w:rsidRPr="00E61DBE" w:rsidRDefault="0069360A" w:rsidP="00E61D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C1995" w:rsidRDefault="003C1995" w:rsidP="00E61DB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61DBE" w:rsidRPr="006D7CD3" w:rsidRDefault="00392D7E" w:rsidP="00E61DB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7CD3">
        <w:rPr>
          <w:rFonts w:ascii="Arial" w:hAnsi="Arial" w:cs="Arial"/>
          <w:b/>
          <w:sz w:val="22"/>
          <w:szCs w:val="22"/>
        </w:rPr>
        <w:t>Artículos Suprimidos</w:t>
      </w:r>
      <w:r w:rsidR="00E61DBE" w:rsidRPr="006D7CD3">
        <w:rPr>
          <w:rFonts w:ascii="Arial" w:hAnsi="Arial" w:cs="Arial"/>
          <w:b/>
          <w:sz w:val="22"/>
          <w:szCs w:val="22"/>
        </w:rPr>
        <w:t>:</w:t>
      </w:r>
    </w:p>
    <w:p w:rsidR="00392D7E" w:rsidRDefault="0069360A" w:rsidP="00E61DBE">
      <w:pPr>
        <w:spacing w:line="360" w:lineRule="auto"/>
        <w:rPr>
          <w:rFonts w:ascii="Arial" w:hAnsi="Arial" w:cs="Arial"/>
          <w:sz w:val="22"/>
          <w:szCs w:val="22"/>
        </w:rPr>
      </w:pPr>
      <w:r w:rsidRPr="00E61DBE">
        <w:rPr>
          <w:rFonts w:ascii="Arial" w:hAnsi="Arial" w:cs="Arial"/>
          <w:b/>
          <w:sz w:val="22"/>
          <w:szCs w:val="22"/>
        </w:rPr>
        <w:t xml:space="preserve">Anterior Art. </w:t>
      </w:r>
      <w:r w:rsidR="007B694A" w:rsidRPr="00E61DBE">
        <w:rPr>
          <w:rFonts w:ascii="Arial" w:hAnsi="Arial" w:cs="Arial"/>
          <w:b/>
          <w:sz w:val="22"/>
          <w:szCs w:val="22"/>
        </w:rPr>
        <w:t>6</w:t>
      </w:r>
      <w:r w:rsidR="00E61DBE">
        <w:rPr>
          <w:rFonts w:ascii="Arial" w:hAnsi="Arial" w:cs="Arial"/>
          <w:b/>
          <w:sz w:val="22"/>
          <w:szCs w:val="22"/>
        </w:rPr>
        <w:t>:</w:t>
      </w:r>
      <w:r w:rsidR="00E61DBE">
        <w:rPr>
          <w:rFonts w:ascii="Arial" w:hAnsi="Arial" w:cs="Arial"/>
          <w:sz w:val="22"/>
          <w:szCs w:val="22"/>
        </w:rPr>
        <w:t xml:space="preserve"> </w:t>
      </w:r>
      <w:r w:rsidRPr="00E61DBE">
        <w:rPr>
          <w:rFonts w:ascii="Arial" w:hAnsi="Arial" w:cs="Arial"/>
          <w:sz w:val="22"/>
          <w:szCs w:val="22"/>
        </w:rPr>
        <w:t>Objeto cumplido</w:t>
      </w:r>
    </w:p>
    <w:p w:rsidR="003C1995" w:rsidRDefault="003C1995" w:rsidP="00E61DBE">
      <w:pPr>
        <w:spacing w:line="360" w:lineRule="auto"/>
        <w:rPr>
          <w:rFonts w:ascii="Arial" w:hAnsi="Arial" w:cs="Arial"/>
          <w:sz w:val="22"/>
          <w:szCs w:val="22"/>
        </w:rPr>
      </w:pPr>
    </w:p>
    <w:p w:rsidR="003C1995" w:rsidRPr="00E61DBE" w:rsidRDefault="003C1995" w:rsidP="00E61DBE">
      <w:pPr>
        <w:spacing w:line="360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2992"/>
        <w:gridCol w:w="2993"/>
        <w:gridCol w:w="2993"/>
      </w:tblGrid>
      <w:tr w:rsidR="00392D7E" w:rsidRPr="00E61DBE" w:rsidTr="00E61DBE">
        <w:trPr>
          <w:trHeight w:val="547"/>
          <w:jc w:val="center"/>
        </w:trPr>
        <w:tc>
          <w:tcPr>
            <w:tcW w:w="8978" w:type="dxa"/>
            <w:gridSpan w:val="3"/>
            <w:vAlign w:val="center"/>
          </w:tcPr>
          <w:p w:rsidR="00392D7E" w:rsidRPr="00E61DBE" w:rsidRDefault="00392D7E" w:rsidP="00E61DBE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</w:rPr>
              <w:lastRenderedPageBreak/>
              <w:t>LEY M – Nº 2</w:t>
            </w:r>
            <w:r w:rsidR="00E61D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61DBE">
              <w:rPr>
                <w:rFonts w:ascii="Arial" w:hAnsi="Arial" w:cs="Arial"/>
                <w:b/>
                <w:sz w:val="22"/>
                <w:szCs w:val="22"/>
              </w:rPr>
              <w:t>457</w:t>
            </w:r>
          </w:p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TABLA DE EQUIVALENCIAS</w:t>
            </w:r>
          </w:p>
        </w:tc>
      </w:tr>
      <w:tr w:rsidR="00392D7E" w:rsidRPr="00E61DBE" w:rsidTr="00E32362">
        <w:trPr>
          <w:jc w:val="center"/>
        </w:trPr>
        <w:tc>
          <w:tcPr>
            <w:tcW w:w="2992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artículo del Texto Definitivo</w:t>
            </w:r>
          </w:p>
        </w:tc>
        <w:tc>
          <w:tcPr>
            <w:tcW w:w="2993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artículo del Texto de Referencia</w:t>
            </w:r>
          </w:p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(Ley Nº </w:t>
            </w:r>
            <w:r w:rsidRPr="00E61DB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C199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61DBE">
              <w:rPr>
                <w:rFonts w:ascii="Arial" w:hAnsi="Arial" w:cs="Arial"/>
                <w:b/>
                <w:sz w:val="22"/>
                <w:szCs w:val="22"/>
              </w:rPr>
              <w:t>457</w:t>
            </w: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993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Observaciones</w:t>
            </w:r>
          </w:p>
        </w:tc>
      </w:tr>
      <w:tr w:rsidR="00392D7E" w:rsidRPr="00E61DBE" w:rsidTr="00E32362">
        <w:trPr>
          <w:jc w:val="center"/>
        </w:trPr>
        <w:tc>
          <w:tcPr>
            <w:tcW w:w="2992" w:type="dxa"/>
            <w:vAlign w:val="center"/>
          </w:tcPr>
          <w:p w:rsidR="00392D7E" w:rsidRPr="00E61DBE" w:rsidRDefault="0069360A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1 </w:t>
            </w:r>
            <w:r w:rsidR="007B694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>/</w:t>
            </w:r>
            <w:r w:rsidRPr="00E61DBE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="007B694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2993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sz w:val="22"/>
                <w:szCs w:val="22"/>
                <w:lang w:val="es-ES_tradnl"/>
              </w:rPr>
              <w:t>1</w:t>
            </w:r>
            <w:r w:rsidR="0069360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="007B694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>/</w:t>
            </w:r>
            <w:r w:rsidR="0069360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  <w:r w:rsidR="007B694A" w:rsidRPr="00E61DBE">
              <w:rPr>
                <w:rFonts w:ascii="Arial" w:hAnsi="Arial" w:cs="Arial"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2993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392D7E" w:rsidRPr="00E61DBE" w:rsidTr="00E32362">
        <w:trPr>
          <w:jc w:val="center"/>
        </w:trPr>
        <w:tc>
          <w:tcPr>
            <w:tcW w:w="2992" w:type="dxa"/>
            <w:vAlign w:val="center"/>
          </w:tcPr>
          <w:p w:rsidR="00392D7E" w:rsidRPr="00E61DBE" w:rsidRDefault="007B694A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2993" w:type="dxa"/>
            <w:vAlign w:val="center"/>
          </w:tcPr>
          <w:p w:rsidR="00392D7E" w:rsidRPr="00E61DBE" w:rsidRDefault="007B694A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E61DBE">
              <w:rPr>
                <w:rFonts w:ascii="Arial" w:hAnsi="Arial" w:cs="Arial"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2993" w:type="dxa"/>
            <w:vAlign w:val="center"/>
          </w:tcPr>
          <w:p w:rsidR="00392D7E" w:rsidRPr="00E61DBE" w:rsidRDefault="00392D7E" w:rsidP="00E61DB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392D7E" w:rsidRPr="00E61DBE" w:rsidRDefault="00392D7E" w:rsidP="00E61DBE">
      <w:pPr>
        <w:spacing w:line="360" w:lineRule="auto"/>
        <w:rPr>
          <w:rFonts w:ascii="Arial" w:hAnsi="Arial" w:cs="Arial"/>
          <w:sz w:val="22"/>
          <w:szCs w:val="22"/>
        </w:rPr>
      </w:pPr>
    </w:p>
    <w:p w:rsidR="0069360A" w:rsidRPr="00E61DBE" w:rsidRDefault="0069360A" w:rsidP="00E61DBE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61DB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="00E61DBE" w:rsidRPr="00E61DBE">
        <w:rPr>
          <w:rFonts w:ascii="Arial" w:hAnsi="Arial" w:cs="Arial"/>
          <w:b/>
          <w:sz w:val="22"/>
          <w:szCs w:val="22"/>
          <w:u w:val="single"/>
        </w:rPr>
        <w:t>:</w:t>
      </w:r>
    </w:p>
    <w:p w:rsidR="0069360A" w:rsidRPr="00E61DBE" w:rsidRDefault="0069360A" w:rsidP="00E61DB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61DBE">
        <w:rPr>
          <w:rFonts w:ascii="Arial" w:hAnsi="Arial" w:cs="Arial"/>
          <w:sz w:val="22"/>
          <w:szCs w:val="22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69360A" w:rsidRPr="00E61DBE" w:rsidRDefault="0069360A" w:rsidP="00E61DB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9360A" w:rsidRPr="00E61DBE" w:rsidRDefault="0069360A" w:rsidP="00E61DB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69360A" w:rsidRPr="00E61DBE" w:rsidSect="00E61DB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392D7E"/>
    <w:rsid w:val="00336545"/>
    <w:rsid w:val="00392D7E"/>
    <w:rsid w:val="003C1995"/>
    <w:rsid w:val="004F1996"/>
    <w:rsid w:val="005D6C57"/>
    <w:rsid w:val="0069360A"/>
    <w:rsid w:val="00696D79"/>
    <w:rsid w:val="006D7CD3"/>
    <w:rsid w:val="006F7FD7"/>
    <w:rsid w:val="007B694A"/>
    <w:rsid w:val="00A77246"/>
    <w:rsid w:val="00B75B75"/>
    <w:rsid w:val="00BB28B6"/>
    <w:rsid w:val="00C23A4E"/>
    <w:rsid w:val="00CA7397"/>
    <w:rsid w:val="00E32362"/>
    <w:rsid w:val="00E61DBE"/>
    <w:rsid w:val="00EB33D5"/>
    <w:rsid w:val="00F70725"/>
    <w:rsid w:val="00F76722"/>
    <w:rsid w:val="00FD5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qFormat/>
    <w:rsid w:val="00392D7E"/>
    <w:rPr>
      <w:i/>
      <w:iCs w:val="0"/>
    </w:rPr>
  </w:style>
  <w:style w:type="character" w:styleId="Textoennegrita">
    <w:name w:val="Strong"/>
    <w:basedOn w:val="Fuentedeprrafopredeter"/>
    <w:qFormat/>
    <w:rsid w:val="00392D7E"/>
    <w:rPr>
      <w:b/>
      <w:bCs w:val="0"/>
    </w:rPr>
  </w:style>
  <w:style w:type="table" w:styleId="Tablaconcuadrcula">
    <w:name w:val="Table Grid"/>
    <w:basedOn w:val="Tablanormal"/>
    <w:uiPriority w:val="59"/>
    <w:rsid w:val="00392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392D7E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392D7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69360A"/>
    <w:rPr>
      <w:rFonts w:ascii="Courier New" w:hAnsi="Courier New"/>
      <w:szCs w:val="24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69360A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2014-10-16T00:57:00Z</dcterms:created>
  <dcterms:modified xsi:type="dcterms:W3CDTF">2015-09-24T16:44:00Z</dcterms:modified>
</cp:coreProperties>
</file>