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E3F" w:rsidRPr="001F29AA" w:rsidRDefault="00141E3F" w:rsidP="001F29AA">
      <w:pPr>
        <w:spacing w:after="0" w:line="360" w:lineRule="auto"/>
        <w:rPr>
          <w:rFonts w:ascii="Arial" w:hAnsi="Arial" w:cs="Arial"/>
          <w:b/>
          <w:lang w:val="es-ES"/>
        </w:rPr>
      </w:pPr>
      <w:r w:rsidRPr="001F29AA">
        <w:rPr>
          <w:rFonts w:ascii="Arial" w:hAnsi="Arial" w:cs="Arial"/>
          <w:b/>
          <w:lang w:val="es-ES"/>
        </w:rPr>
        <w:t>2007-01-1169</w:t>
      </w:r>
    </w:p>
    <w:p w:rsidR="00141E3F" w:rsidRPr="001F29AA" w:rsidRDefault="00141E3F" w:rsidP="001F29AA">
      <w:pPr>
        <w:spacing w:after="0" w:line="360" w:lineRule="auto"/>
        <w:rPr>
          <w:rFonts w:ascii="Arial" w:hAnsi="Arial" w:cs="Arial"/>
          <w:b/>
          <w:lang w:val="es-ES"/>
        </w:rPr>
      </w:pPr>
    </w:p>
    <w:p w:rsidR="00141E3F" w:rsidRPr="001F29AA" w:rsidRDefault="0060115A" w:rsidP="001F29AA">
      <w:pPr>
        <w:spacing w:after="0" w:line="360" w:lineRule="auto"/>
        <w:jc w:val="center"/>
        <w:rPr>
          <w:rFonts w:ascii="Arial" w:hAnsi="Arial" w:cs="Arial"/>
          <w:b/>
          <w:lang w:val="es-ES"/>
        </w:rPr>
      </w:pPr>
      <w:r w:rsidRPr="0060115A">
        <w:rPr>
          <w:rFonts w:ascii="Arial" w:hAnsi="Arial" w:cs="Arial"/>
          <w:b/>
          <w:lang w:val="es-ES"/>
        </w:rPr>
        <w:t>LEY G - N° 2.246</w:t>
      </w: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_tradnl"/>
        </w:rPr>
      </w:pP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_tradnl"/>
        </w:rPr>
      </w:pPr>
      <w:r w:rsidRPr="001F29AA">
        <w:rPr>
          <w:rFonts w:ascii="Arial" w:hAnsi="Arial" w:cs="Arial"/>
          <w:lang w:val="es-ES_tradnl"/>
        </w:rPr>
        <w:t xml:space="preserve">Artículo 1° - </w:t>
      </w:r>
      <w:proofErr w:type="spellStart"/>
      <w:r w:rsidRPr="001F29AA">
        <w:rPr>
          <w:rFonts w:ascii="Arial" w:hAnsi="Arial" w:cs="Arial"/>
          <w:lang w:val="es-ES_tradnl"/>
        </w:rPr>
        <w:t>Denomínase</w:t>
      </w:r>
      <w:proofErr w:type="spellEnd"/>
      <w:r w:rsidRPr="001F29AA">
        <w:rPr>
          <w:rFonts w:ascii="Arial" w:hAnsi="Arial" w:cs="Arial"/>
          <w:lang w:val="es-ES_tradnl"/>
        </w:rPr>
        <w:t xml:space="preserve"> “Semana de la Reivindicación de la Soberanía Argentina en las Islas Malvinas, </w:t>
      </w:r>
      <w:proofErr w:type="spellStart"/>
      <w:r w:rsidRPr="001F29AA">
        <w:rPr>
          <w:rFonts w:ascii="Arial" w:hAnsi="Arial" w:cs="Arial"/>
          <w:lang w:val="es-ES_tradnl"/>
        </w:rPr>
        <w:t>Georgias</w:t>
      </w:r>
      <w:proofErr w:type="spellEnd"/>
      <w:r w:rsidRPr="001F29AA">
        <w:rPr>
          <w:rFonts w:ascii="Arial" w:hAnsi="Arial" w:cs="Arial"/>
          <w:lang w:val="es-ES_tradnl"/>
        </w:rPr>
        <w:t xml:space="preserve"> del Sur y </w:t>
      </w:r>
      <w:proofErr w:type="spellStart"/>
      <w:r w:rsidRPr="001F29AA">
        <w:rPr>
          <w:rFonts w:ascii="Arial" w:hAnsi="Arial" w:cs="Arial"/>
          <w:lang w:val="es-ES_tradnl"/>
        </w:rPr>
        <w:t>Sandwich</w:t>
      </w:r>
      <w:proofErr w:type="spellEnd"/>
      <w:r w:rsidRPr="001F29AA">
        <w:rPr>
          <w:rFonts w:ascii="Arial" w:hAnsi="Arial" w:cs="Arial"/>
          <w:lang w:val="es-ES_tradnl"/>
        </w:rPr>
        <w:t xml:space="preserve"> del Sur” al período comprendido por los días dos (2), tres (3), cuatro (4), cinco (5), seis (6), siete (7) y ocho (8) del mes de abril de cada año, en el ámbito de la Ciudad de Buenos Aires.</w:t>
      </w:r>
    </w:p>
    <w:p w:rsidR="00141E3F" w:rsidRPr="001F29AA" w:rsidRDefault="00141E3F" w:rsidP="001F29AA">
      <w:pPr>
        <w:spacing w:after="0" w:line="360" w:lineRule="auto"/>
        <w:rPr>
          <w:rFonts w:ascii="Arial" w:hAnsi="Arial" w:cs="Arial"/>
          <w:lang w:val="es-ES_tradnl"/>
        </w:rPr>
      </w:pP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_tradnl"/>
        </w:rPr>
      </w:pPr>
      <w:r w:rsidRPr="001F29AA">
        <w:rPr>
          <w:rFonts w:ascii="Arial" w:hAnsi="Arial" w:cs="Arial"/>
          <w:lang w:val="es-ES_tradnl"/>
        </w:rPr>
        <w:t xml:space="preserve">Artículo 2° - Declárese de Interés Histórico, Social, Cultural y Educativo a la "Semana de la Reivindicación Argentina en las Islas Malvinas, </w:t>
      </w:r>
      <w:proofErr w:type="spellStart"/>
      <w:r w:rsidRPr="001F29AA">
        <w:rPr>
          <w:rFonts w:ascii="Arial" w:hAnsi="Arial" w:cs="Arial"/>
          <w:lang w:val="es-ES_tradnl"/>
        </w:rPr>
        <w:t>Georgias</w:t>
      </w:r>
      <w:proofErr w:type="spellEnd"/>
      <w:r w:rsidRPr="001F29AA">
        <w:rPr>
          <w:rFonts w:ascii="Arial" w:hAnsi="Arial" w:cs="Arial"/>
          <w:lang w:val="es-ES_tradnl"/>
        </w:rPr>
        <w:t xml:space="preserve"> del Sur y </w:t>
      </w:r>
      <w:proofErr w:type="spellStart"/>
      <w:r w:rsidRPr="001F29AA">
        <w:rPr>
          <w:rFonts w:ascii="Arial" w:hAnsi="Arial" w:cs="Arial"/>
          <w:lang w:val="es-ES_tradnl"/>
        </w:rPr>
        <w:t>Sandwich</w:t>
      </w:r>
      <w:proofErr w:type="spellEnd"/>
      <w:r w:rsidRPr="001F29AA">
        <w:rPr>
          <w:rFonts w:ascii="Arial" w:hAnsi="Arial" w:cs="Arial"/>
          <w:lang w:val="es-ES_tradnl"/>
        </w:rPr>
        <w:t xml:space="preserve"> del Sur".</w:t>
      </w: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_tradnl"/>
        </w:rPr>
      </w:pP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_tradnl"/>
        </w:rPr>
      </w:pPr>
      <w:r w:rsidRPr="001F29AA">
        <w:rPr>
          <w:rFonts w:ascii="Arial" w:hAnsi="Arial" w:cs="Arial"/>
          <w:lang w:val="es-ES_tradnl"/>
        </w:rPr>
        <w:t xml:space="preserve">Artículo 3° - El Poder Ejecutivo convocará a los ex combatientes de la Guerra de las Malvinas, sin distinción de residencia, y a los establecimientos educativos dependientes del Gobierno de la Ciudad de Buenos Aires, en todos los niveles, modalidades y gestiones a concurso público para realizar y destacar obras de artes plásticas, musicales, literarias y audiovisuales, relacionadas con las Islas Malvinas, </w:t>
      </w:r>
      <w:proofErr w:type="spellStart"/>
      <w:r w:rsidRPr="001F29AA">
        <w:rPr>
          <w:rFonts w:ascii="Arial" w:hAnsi="Arial" w:cs="Arial"/>
          <w:lang w:val="es-ES_tradnl"/>
        </w:rPr>
        <w:t>Georgias</w:t>
      </w:r>
      <w:proofErr w:type="spellEnd"/>
      <w:r w:rsidRPr="001F29AA">
        <w:rPr>
          <w:rFonts w:ascii="Arial" w:hAnsi="Arial" w:cs="Arial"/>
          <w:lang w:val="es-ES_tradnl"/>
        </w:rPr>
        <w:t xml:space="preserve"> del Sur y </w:t>
      </w:r>
      <w:proofErr w:type="spellStart"/>
      <w:r w:rsidRPr="001F29AA">
        <w:rPr>
          <w:rFonts w:ascii="Arial" w:hAnsi="Arial" w:cs="Arial"/>
          <w:lang w:val="es-ES_tradnl"/>
        </w:rPr>
        <w:t>Sandwich</w:t>
      </w:r>
      <w:proofErr w:type="spellEnd"/>
      <w:r w:rsidRPr="001F29AA">
        <w:rPr>
          <w:rFonts w:ascii="Arial" w:hAnsi="Arial" w:cs="Arial"/>
          <w:lang w:val="es-ES_tradnl"/>
        </w:rPr>
        <w:t xml:space="preserve"> del Sur.</w:t>
      </w:r>
    </w:p>
    <w:p w:rsidR="00141E3F" w:rsidRPr="001F29AA" w:rsidRDefault="00141E3F" w:rsidP="001F29AA">
      <w:pPr>
        <w:spacing w:after="0" w:line="360" w:lineRule="auto"/>
        <w:rPr>
          <w:rFonts w:ascii="Arial" w:hAnsi="Arial" w:cs="Arial"/>
          <w:lang w:val="es-ES_tradnl"/>
        </w:rPr>
      </w:pP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_tradnl"/>
        </w:rPr>
      </w:pPr>
      <w:r w:rsidRPr="001F29AA">
        <w:rPr>
          <w:rFonts w:ascii="Arial" w:hAnsi="Arial" w:cs="Arial"/>
          <w:lang w:val="es-ES_tradnl"/>
        </w:rPr>
        <w:t xml:space="preserve">Artículo 4° - Realícense en los establecimientos dependientes de los Órganos de Poder de la Ciudad, exposiciones de arte, conferencias, proyecciones de documentales y cualquier otro evento relacionado con las Islas Malvinas, </w:t>
      </w:r>
      <w:proofErr w:type="spellStart"/>
      <w:r w:rsidRPr="001F29AA">
        <w:rPr>
          <w:rFonts w:ascii="Arial" w:hAnsi="Arial" w:cs="Arial"/>
          <w:lang w:val="es-ES_tradnl"/>
        </w:rPr>
        <w:t>Georgias</w:t>
      </w:r>
      <w:proofErr w:type="spellEnd"/>
      <w:r w:rsidRPr="001F29AA">
        <w:rPr>
          <w:rFonts w:ascii="Arial" w:hAnsi="Arial" w:cs="Arial"/>
          <w:lang w:val="es-ES_tradnl"/>
        </w:rPr>
        <w:t xml:space="preserve"> del Sur y </w:t>
      </w:r>
      <w:proofErr w:type="spellStart"/>
      <w:r w:rsidRPr="001F29AA">
        <w:rPr>
          <w:rFonts w:ascii="Arial" w:hAnsi="Arial" w:cs="Arial"/>
          <w:lang w:val="es-ES_tradnl"/>
        </w:rPr>
        <w:t>Sandwich</w:t>
      </w:r>
      <w:proofErr w:type="spellEnd"/>
      <w:r w:rsidRPr="001F29AA">
        <w:rPr>
          <w:rFonts w:ascii="Arial" w:hAnsi="Arial" w:cs="Arial"/>
          <w:lang w:val="es-ES_tradnl"/>
        </w:rPr>
        <w:t xml:space="preserve"> del Sur.</w:t>
      </w:r>
    </w:p>
    <w:p w:rsidR="00141E3F" w:rsidRPr="001F29AA" w:rsidRDefault="00141E3F" w:rsidP="001F29AA">
      <w:pPr>
        <w:spacing w:after="0" w:line="360" w:lineRule="auto"/>
        <w:rPr>
          <w:rFonts w:ascii="Arial" w:hAnsi="Arial" w:cs="Arial"/>
          <w:lang w:val="es-ES_tradnl"/>
        </w:rPr>
      </w:pP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_tradnl"/>
        </w:rPr>
      </w:pPr>
      <w:r w:rsidRPr="001F29AA">
        <w:rPr>
          <w:rFonts w:ascii="Arial" w:hAnsi="Arial" w:cs="Arial"/>
          <w:lang w:val="es-ES_tradnl"/>
        </w:rPr>
        <w:t xml:space="preserve">Artículo 5° - </w:t>
      </w:r>
      <w:proofErr w:type="spellStart"/>
      <w:r w:rsidRPr="001F29AA">
        <w:rPr>
          <w:rFonts w:ascii="Arial" w:hAnsi="Arial" w:cs="Arial"/>
          <w:lang w:val="es-ES_tradnl"/>
        </w:rPr>
        <w:t>Díctanse</w:t>
      </w:r>
      <w:proofErr w:type="spellEnd"/>
      <w:r w:rsidRPr="001F29AA">
        <w:rPr>
          <w:rFonts w:ascii="Arial" w:hAnsi="Arial" w:cs="Arial"/>
          <w:lang w:val="es-ES_tradnl"/>
        </w:rPr>
        <w:t xml:space="preserve"> clases especiales relacionadas con:</w:t>
      </w:r>
    </w:p>
    <w:p w:rsidR="00141E3F" w:rsidRDefault="00141E3F" w:rsidP="0060115A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hAnsi="Arial" w:cs="Arial"/>
          <w:lang w:val="es-ES_tradnl"/>
        </w:rPr>
      </w:pPr>
      <w:r w:rsidRPr="0060115A">
        <w:rPr>
          <w:rFonts w:ascii="Arial" w:hAnsi="Arial" w:cs="Arial"/>
          <w:lang w:val="es-ES_tradnl"/>
        </w:rPr>
        <w:t xml:space="preserve">El reconocimiento del carácter de la República Argentina como país </w:t>
      </w:r>
      <w:proofErr w:type="spellStart"/>
      <w:r w:rsidRPr="0060115A">
        <w:rPr>
          <w:rFonts w:ascii="Arial" w:hAnsi="Arial" w:cs="Arial"/>
          <w:lang w:val="es-ES_tradnl"/>
        </w:rPr>
        <w:t>bicontinental</w:t>
      </w:r>
      <w:proofErr w:type="spellEnd"/>
      <w:r w:rsidRPr="0060115A">
        <w:rPr>
          <w:rFonts w:ascii="Arial" w:hAnsi="Arial" w:cs="Arial"/>
          <w:lang w:val="es-ES_tradnl"/>
        </w:rPr>
        <w:t>,</w:t>
      </w:r>
    </w:p>
    <w:p w:rsidR="00141E3F" w:rsidRDefault="00141E3F" w:rsidP="001F29AA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hAnsi="Arial" w:cs="Arial"/>
          <w:lang w:val="es-ES_tradnl"/>
        </w:rPr>
      </w:pPr>
      <w:r w:rsidRPr="0060115A">
        <w:rPr>
          <w:rFonts w:ascii="Arial" w:hAnsi="Arial" w:cs="Arial"/>
          <w:lang w:val="es-ES_tradnl"/>
        </w:rPr>
        <w:t>La Difusión de los derechos de soberanía sobre el Sector Antártico Argentino, así como los intereses y la actividad antártica de la República Argentina,</w:t>
      </w:r>
    </w:p>
    <w:p w:rsidR="00141E3F" w:rsidRDefault="00141E3F" w:rsidP="001F29AA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hAnsi="Arial" w:cs="Arial"/>
          <w:lang w:val="es-ES_tradnl"/>
        </w:rPr>
      </w:pPr>
      <w:r w:rsidRPr="0060115A">
        <w:rPr>
          <w:rFonts w:ascii="Arial" w:hAnsi="Arial" w:cs="Arial"/>
          <w:lang w:val="es-ES_tradnl"/>
        </w:rPr>
        <w:t>La difusión de las actividades de investigación científica, la logística a ella asociada y la protección del medio ambiente que se llevan a cabo en el Sector Antártico Argentino, en conformidad con la legislación nacional y con los principios y propósitos del Tratado Antártico,</w:t>
      </w:r>
    </w:p>
    <w:p w:rsidR="00141E3F" w:rsidRPr="0060115A" w:rsidRDefault="00141E3F" w:rsidP="001F29AA">
      <w:pPr>
        <w:pStyle w:val="Prrafodelista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Arial" w:hAnsi="Arial" w:cs="Arial"/>
          <w:lang w:val="es-ES_tradnl"/>
        </w:rPr>
      </w:pPr>
      <w:r w:rsidRPr="0060115A">
        <w:rPr>
          <w:rFonts w:ascii="Arial" w:hAnsi="Arial" w:cs="Arial"/>
          <w:lang w:val="es-ES_tradnl"/>
        </w:rPr>
        <w:t xml:space="preserve">La recuperación del ejercicio pleno de la soberanía argentina sobre las Islas Malvinas, </w:t>
      </w:r>
      <w:proofErr w:type="spellStart"/>
      <w:r w:rsidRPr="0060115A">
        <w:rPr>
          <w:rFonts w:ascii="Arial" w:hAnsi="Arial" w:cs="Arial"/>
          <w:lang w:val="es-ES_tradnl"/>
        </w:rPr>
        <w:t>Georgias</w:t>
      </w:r>
      <w:proofErr w:type="spellEnd"/>
      <w:r w:rsidRPr="0060115A">
        <w:rPr>
          <w:rFonts w:ascii="Arial" w:hAnsi="Arial" w:cs="Arial"/>
          <w:lang w:val="es-ES_tradnl"/>
        </w:rPr>
        <w:t xml:space="preserve"> del Sur y </w:t>
      </w:r>
      <w:proofErr w:type="spellStart"/>
      <w:r w:rsidRPr="0060115A">
        <w:rPr>
          <w:rFonts w:ascii="Arial" w:hAnsi="Arial" w:cs="Arial"/>
          <w:lang w:val="es-ES_tradnl"/>
        </w:rPr>
        <w:t>Sandwich</w:t>
      </w:r>
      <w:proofErr w:type="spellEnd"/>
      <w:r w:rsidRPr="0060115A">
        <w:rPr>
          <w:rFonts w:ascii="Arial" w:hAnsi="Arial" w:cs="Arial"/>
          <w:lang w:val="es-ES_tradnl"/>
        </w:rPr>
        <w:t xml:space="preserve"> del Sur y los espacios marítimos circundantes, de acuerdo con lo prescripto en la Cláusula Transitoria Primera de la Constitución Nacional y el afianzamiento de la soberanía argentina sobre el Sector Antártico Argentino.</w:t>
      </w: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"/>
        </w:rPr>
      </w:pPr>
      <w:r w:rsidRPr="001F29AA">
        <w:rPr>
          <w:rFonts w:ascii="Arial" w:hAnsi="Arial" w:cs="Arial"/>
          <w:lang w:val="es-ES_tradnl"/>
        </w:rPr>
        <w:t>Todos los establecimientos educativos dependientes del Gobierno de la Ciudad de Buenos Aires, en todos los niveles, modalidades y gestiones, deberán contar con mapas de la República Argentina de proyección integral (</w:t>
      </w:r>
      <w:proofErr w:type="spellStart"/>
      <w:r w:rsidRPr="001F29AA">
        <w:rPr>
          <w:rFonts w:ascii="Arial" w:hAnsi="Arial" w:cs="Arial"/>
          <w:lang w:val="es-ES_tradnl"/>
        </w:rPr>
        <w:t>Lambert</w:t>
      </w:r>
      <w:proofErr w:type="spellEnd"/>
      <w:r w:rsidRPr="001F29AA">
        <w:rPr>
          <w:rFonts w:ascii="Arial" w:hAnsi="Arial" w:cs="Arial"/>
          <w:lang w:val="es-ES_tradnl"/>
        </w:rPr>
        <w:t xml:space="preserve">), de acuerdo con los requisitos establecidos por el Instituto Geográfico Militar (IGM). Así mismo, podrán convocar la participación activa de ex </w:t>
      </w:r>
      <w:r w:rsidRPr="001F29AA">
        <w:rPr>
          <w:rFonts w:ascii="Arial" w:hAnsi="Arial" w:cs="Arial"/>
          <w:lang w:val="es-ES_tradnl"/>
        </w:rPr>
        <w:lastRenderedPageBreak/>
        <w:t>combatientes, beneficiarios de la Ley 1</w:t>
      </w:r>
      <w:r w:rsidR="0060115A">
        <w:rPr>
          <w:rFonts w:ascii="Arial" w:hAnsi="Arial" w:cs="Arial"/>
          <w:lang w:val="es-ES_tradnl"/>
        </w:rPr>
        <w:t>.</w:t>
      </w:r>
      <w:r w:rsidRPr="001F29AA">
        <w:rPr>
          <w:rFonts w:ascii="Arial" w:hAnsi="Arial" w:cs="Arial"/>
          <w:lang w:val="es-ES_tradnl"/>
        </w:rPr>
        <w:t>075 # de la CABA, como testimonio de la memoria viva de los hechos acontecidos, para la realización de las clases especiales a dictarse.</w:t>
      </w: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_tradnl"/>
        </w:rPr>
      </w:pPr>
      <w:r w:rsidRPr="001F29AA">
        <w:rPr>
          <w:rFonts w:ascii="Arial" w:hAnsi="Arial" w:cs="Arial"/>
          <w:lang w:val="es-ES_tradnl"/>
        </w:rPr>
        <w:t xml:space="preserve"> </w:t>
      </w: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141E3F" w:rsidRPr="001F29AA" w:rsidTr="001F29AA">
        <w:trPr>
          <w:jc w:val="center"/>
        </w:trPr>
        <w:tc>
          <w:tcPr>
            <w:tcW w:w="8969" w:type="dxa"/>
            <w:gridSpan w:val="2"/>
            <w:vAlign w:val="center"/>
          </w:tcPr>
          <w:p w:rsidR="00141E3F" w:rsidRPr="001F29AA" w:rsidRDefault="00141E3F" w:rsidP="001F29AA">
            <w:pPr>
              <w:spacing w:before="240" w:after="0" w:line="360" w:lineRule="auto"/>
              <w:jc w:val="center"/>
              <w:rPr>
                <w:rFonts w:ascii="Arial" w:hAnsi="Arial" w:cs="Arial"/>
                <w:u w:val="single"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LEY G - N° 2</w:t>
            </w:r>
            <w:r w:rsidR="001F29AA">
              <w:rPr>
                <w:rFonts w:ascii="Arial" w:hAnsi="Arial" w:cs="Arial"/>
                <w:b/>
                <w:lang w:val="es-ES"/>
              </w:rPr>
              <w:t>.</w:t>
            </w:r>
            <w:r w:rsidRPr="001F29AA">
              <w:rPr>
                <w:rFonts w:ascii="Arial" w:hAnsi="Arial" w:cs="Arial"/>
                <w:b/>
                <w:lang w:val="es-ES"/>
              </w:rPr>
              <w:t>246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TABLA DE ANTECEDENTES</w:t>
            </w:r>
          </w:p>
        </w:tc>
      </w:tr>
      <w:tr w:rsidR="00141E3F" w:rsidRPr="001F29AA" w:rsidTr="001F29AA">
        <w:trPr>
          <w:jc w:val="center"/>
        </w:trPr>
        <w:tc>
          <w:tcPr>
            <w:tcW w:w="3752" w:type="dxa"/>
            <w:vAlign w:val="center"/>
          </w:tcPr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Artículo del Texto</w:t>
            </w:r>
            <w:r w:rsidR="001F29AA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1F29AA">
              <w:rPr>
                <w:rFonts w:ascii="Arial" w:hAnsi="Arial" w:cs="Arial"/>
                <w:b/>
                <w:lang w:val="es-ES"/>
              </w:rPr>
              <w:t>Definitivo</w:t>
            </w:r>
          </w:p>
        </w:tc>
        <w:tc>
          <w:tcPr>
            <w:tcW w:w="5217" w:type="dxa"/>
            <w:vAlign w:val="center"/>
          </w:tcPr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Fuente</w:t>
            </w:r>
          </w:p>
        </w:tc>
      </w:tr>
      <w:tr w:rsidR="00141E3F" w:rsidRPr="001F29AA" w:rsidTr="001F29AA">
        <w:trPr>
          <w:trHeight w:val="555"/>
          <w:jc w:val="center"/>
        </w:trPr>
        <w:tc>
          <w:tcPr>
            <w:tcW w:w="3752" w:type="dxa"/>
            <w:vAlign w:val="center"/>
          </w:tcPr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1F29AA">
              <w:rPr>
                <w:rFonts w:ascii="Arial" w:hAnsi="Arial" w:cs="Arial"/>
                <w:lang w:val="es-ES"/>
              </w:rPr>
              <w:t>1°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1F29AA">
              <w:rPr>
                <w:rFonts w:ascii="Arial" w:hAnsi="Arial" w:cs="Arial"/>
                <w:lang w:val="es-ES"/>
              </w:rPr>
              <w:t>2°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1F29AA">
              <w:rPr>
                <w:rFonts w:ascii="Arial" w:hAnsi="Arial" w:cs="Arial"/>
                <w:lang w:val="es-ES"/>
              </w:rPr>
              <w:t>3°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1F29AA">
              <w:rPr>
                <w:rFonts w:ascii="Arial" w:hAnsi="Arial" w:cs="Arial"/>
                <w:lang w:val="es-ES"/>
              </w:rPr>
              <w:t>4°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1F29AA">
              <w:rPr>
                <w:rFonts w:ascii="Arial" w:hAnsi="Arial" w:cs="Arial"/>
                <w:lang w:val="es-ES"/>
              </w:rPr>
              <w:t>5°</w:t>
            </w:r>
          </w:p>
        </w:tc>
        <w:tc>
          <w:tcPr>
            <w:tcW w:w="5217" w:type="dxa"/>
            <w:vAlign w:val="center"/>
          </w:tcPr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1F29AA">
              <w:rPr>
                <w:rFonts w:ascii="Arial" w:hAnsi="Arial" w:cs="Arial"/>
                <w:lang w:val="en-US"/>
              </w:rPr>
              <w:t>Ley 3760, art. 1º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1F29AA">
              <w:rPr>
                <w:rFonts w:ascii="Arial" w:hAnsi="Arial" w:cs="Arial"/>
                <w:lang w:val="en-US"/>
              </w:rPr>
              <w:t>Texto Original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1F29AA">
              <w:rPr>
                <w:rFonts w:ascii="Arial" w:hAnsi="Arial" w:cs="Arial"/>
                <w:lang w:val="en-US"/>
              </w:rPr>
              <w:t>Ley 3760, art. 2º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1F29AA">
              <w:rPr>
                <w:rFonts w:ascii="Arial" w:hAnsi="Arial" w:cs="Arial"/>
                <w:lang w:val="en-US"/>
              </w:rPr>
              <w:t>Texto Original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1F29AA">
              <w:rPr>
                <w:rFonts w:ascii="Arial" w:hAnsi="Arial" w:cs="Arial"/>
                <w:lang w:val="en-US"/>
              </w:rPr>
              <w:t>Ley 3760, art. 3º</w:t>
            </w:r>
          </w:p>
        </w:tc>
      </w:tr>
    </w:tbl>
    <w:p w:rsidR="001F29AA" w:rsidRDefault="001F29AA" w:rsidP="001F29AA">
      <w:pPr>
        <w:spacing w:after="0" w:line="360" w:lineRule="auto"/>
        <w:rPr>
          <w:rFonts w:ascii="Arial" w:hAnsi="Arial" w:cs="Arial"/>
          <w:b/>
          <w:lang w:val="es-ES"/>
        </w:rPr>
      </w:pPr>
    </w:p>
    <w:p w:rsidR="00141E3F" w:rsidRPr="00846249" w:rsidRDefault="00141E3F" w:rsidP="001F29AA">
      <w:pPr>
        <w:spacing w:after="0" w:line="360" w:lineRule="auto"/>
        <w:rPr>
          <w:rFonts w:ascii="Arial" w:hAnsi="Arial" w:cs="Arial"/>
          <w:b/>
          <w:lang w:val="es-ES"/>
        </w:rPr>
      </w:pPr>
      <w:r w:rsidRPr="00846249">
        <w:rPr>
          <w:rFonts w:ascii="Arial" w:hAnsi="Arial" w:cs="Arial"/>
          <w:b/>
          <w:lang w:val="es-ES"/>
        </w:rPr>
        <w:t>Artículos Suprimidos</w:t>
      </w:r>
      <w:r w:rsidR="00846249">
        <w:rPr>
          <w:rFonts w:ascii="Arial" w:hAnsi="Arial" w:cs="Arial"/>
          <w:b/>
          <w:lang w:val="es-ES"/>
        </w:rPr>
        <w:t>:</w:t>
      </w:r>
      <w:r w:rsidRPr="00846249">
        <w:rPr>
          <w:rFonts w:ascii="Arial" w:hAnsi="Arial" w:cs="Arial"/>
          <w:b/>
          <w:lang w:val="es-ES"/>
        </w:rPr>
        <w:t xml:space="preserve"> </w:t>
      </w:r>
    </w:p>
    <w:p w:rsidR="00141E3F" w:rsidRDefault="00141E3F" w:rsidP="001F29AA">
      <w:pPr>
        <w:spacing w:after="0" w:line="360" w:lineRule="auto"/>
        <w:rPr>
          <w:rFonts w:ascii="Arial" w:hAnsi="Arial" w:cs="Arial"/>
          <w:lang w:val="es-ES"/>
        </w:rPr>
      </w:pPr>
      <w:r w:rsidRPr="001F29AA">
        <w:rPr>
          <w:rFonts w:ascii="Arial" w:hAnsi="Arial" w:cs="Arial"/>
          <w:b/>
          <w:lang w:val="es-ES"/>
        </w:rPr>
        <w:t>Anterior art. 6°:</w:t>
      </w:r>
      <w:r w:rsidR="001F29AA">
        <w:rPr>
          <w:rFonts w:ascii="Arial" w:hAnsi="Arial" w:cs="Arial"/>
          <w:b/>
          <w:i/>
          <w:lang w:val="es-ES"/>
        </w:rPr>
        <w:t xml:space="preserve"> </w:t>
      </w:r>
      <w:r w:rsidRPr="001F29AA">
        <w:rPr>
          <w:rFonts w:ascii="Arial" w:hAnsi="Arial" w:cs="Arial"/>
          <w:lang w:val="es-ES"/>
        </w:rPr>
        <w:t>Caducidad por plazo cumplido.</w:t>
      </w:r>
    </w:p>
    <w:p w:rsidR="001F29AA" w:rsidRPr="001F29AA" w:rsidRDefault="001F29AA" w:rsidP="001F29AA">
      <w:pPr>
        <w:spacing w:after="0" w:line="360" w:lineRule="auto"/>
        <w:rPr>
          <w:rFonts w:ascii="Arial" w:hAnsi="Arial" w:cs="Arial"/>
          <w:b/>
          <w:lang w:val="es-ES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141E3F" w:rsidRPr="001F29AA" w:rsidTr="001F29AA">
        <w:trPr>
          <w:jc w:val="center"/>
        </w:trPr>
        <w:tc>
          <w:tcPr>
            <w:tcW w:w="8969" w:type="dxa"/>
            <w:gridSpan w:val="3"/>
            <w:vAlign w:val="center"/>
          </w:tcPr>
          <w:p w:rsidR="00141E3F" w:rsidRPr="001F29AA" w:rsidRDefault="00141E3F" w:rsidP="001F29AA">
            <w:pPr>
              <w:spacing w:before="240"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LEY G - N° 2</w:t>
            </w:r>
            <w:r w:rsidR="001F29AA">
              <w:rPr>
                <w:rFonts w:ascii="Arial" w:hAnsi="Arial" w:cs="Arial"/>
                <w:b/>
                <w:lang w:val="es-ES"/>
              </w:rPr>
              <w:t>.</w:t>
            </w:r>
            <w:r w:rsidRPr="001F29AA">
              <w:rPr>
                <w:rFonts w:ascii="Arial" w:hAnsi="Arial" w:cs="Arial"/>
                <w:b/>
                <w:lang w:val="es-ES"/>
              </w:rPr>
              <w:t>246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TABLA DE EQUIVALENCIAS</w:t>
            </w:r>
          </w:p>
        </w:tc>
      </w:tr>
      <w:tr w:rsidR="00141E3F" w:rsidRPr="001F29AA" w:rsidTr="001F29AA">
        <w:trPr>
          <w:jc w:val="center"/>
        </w:trPr>
        <w:tc>
          <w:tcPr>
            <w:tcW w:w="3090" w:type="dxa"/>
            <w:vAlign w:val="center"/>
          </w:tcPr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Número de artículo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Número de artículo</w:t>
            </w:r>
          </w:p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del Texto de Referencia (Ley 2</w:t>
            </w:r>
            <w:r w:rsidR="0060115A">
              <w:rPr>
                <w:rFonts w:ascii="Arial" w:hAnsi="Arial" w:cs="Arial"/>
                <w:b/>
                <w:lang w:val="es-ES"/>
              </w:rPr>
              <w:t>.</w:t>
            </w:r>
            <w:r w:rsidRPr="001F29AA">
              <w:rPr>
                <w:rFonts w:ascii="Arial" w:hAnsi="Arial" w:cs="Arial"/>
                <w:b/>
                <w:lang w:val="es-ES"/>
              </w:rPr>
              <w:t>246)</w:t>
            </w:r>
          </w:p>
        </w:tc>
        <w:tc>
          <w:tcPr>
            <w:tcW w:w="3029" w:type="dxa"/>
            <w:vAlign w:val="center"/>
          </w:tcPr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1F29AA">
              <w:rPr>
                <w:rFonts w:ascii="Arial" w:hAnsi="Arial" w:cs="Arial"/>
                <w:b/>
                <w:lang w:val="es-ES"/>
              </w:rPr>
              <w:t>Observaciones</w:t>
            </w:r>
          </w:p>
        </w:tc>
      </w:tr>
      <w:tr w:rsidR="00141E3F" w:rsidRPr="001F29AA" w:rsidTr="001F29AA">
        <w:trPr>
          <w:jc w:val="center"/>
        </w:trPr>
        <w:tc>
          <w:tcPr>
            <w:tcW w:w="8969" w:type="dxa"/>
            <w:gridSpan w:val="3"/>
            <w:vAlign w:val="center"/>
          </w:tcPr>
          <w:p w:rsidR="00141E3F" w:rsidRPr="001F29AA" w:rsidRDefault="00141E3F" w:rsidP="001F29AA">
            <w:pPr>
              <w:spacing w:after="0" w:line="360" w:lineRule="auto"/>
              <w:jc w:val="center"/>
              <w:rPr>
                <w:rFonts w:ascii="Arial" w:hAnsi="Arial" w:cs="Arial"/>
                <w:lang w:val="es-ES"/>
              </w:rPr>
            </w:pPr>
            <w:r w:rsidRPr="001F29AA">
              <w:rPr>
                <w:rFonts w:ascii="Arial" w:hAnsi="Arial" w:cs="Arial"/>
                <w:lang w:val="es-ES"/>
              </w:rPr>
              <w:t>La numeración de los artículos del Texto Definitivo corresponde a la numeración original de la Ley 2</w:t>
            </w:r>
            <w:r w:rsidR="0060115A">
              <w:rPr>
                <w:rFonts w:ascii="Arial" w:hAnsi="Arial" w:cs="Arial"/>
                <w:lang w:val="es-ES"/>
              </w:rPr>
              <w:t>.</w:t>
            </w:r>
            <w:r w:rsidRPr="001F29AA">
              <w:rPr>
                <w:rFonts w:ascii="Arial" w:hAnsi="Arial" w:cs="Arial"/>
                <w:lang w:val="es-ES"/>
              </w:rPr>
              <w:t>246.</w:t>
            </w:r>
          </w:p>
        </w:tc>
      </w:tr>
    </w:tbl>
    <w:p w:rsidR="00141E3F" w:rsidRPr="001F29AA" w:rsidRDefault="00141E3F" w:rsidP="001F29AA">
      <w:pPr>
        <w:spacing w:after="0" w:line="360" w:lineRule="auto"/>
        <w:rPr>
          <w:rFonts w:ascii="Arial" w:hAnsi="Arial" w:cs="Arial"/>
          <w:lang w:val="es-ES"/>
        </w:rPr>
      </w:pPr>
    </w:p>
    <w:p w:rsidR="00141E3F" w:rsidRPr="001F29AA" w:rsidRDefault="00141E3F" w:rsidP="001F29AA">
      <w:pPr>
        <w:spacing w:after="0" w:line="360" w:lineRule="auto"/>
        <w:jc w:val="both"/>
        <w:rPr>
          <w:rFonts w:ascii="Arial" w:hAnsi="Arial" w:cs="Arial"/>
          <w:lang w:val="es-ES"/>
        </w:rPr>
      </w:pPr>
      <w:r w:rsidRPr="001F29AA">
        <w:rPr>
          <w:rFonts w:ascii="Arial" w:hAnsi="Arial" w:cs="Arial"/>
          <w:b/>
          <w:u w:val="single"/>
          <w:lang w:val="es-ES"/>
        </w:rPr>
        <w:t>Observaciones Generales</w:t>
      </w:r>
      <w:r w:rsidRPr="001F29AA">
        <w:rPr>
          <w:rFonts w:ascii="Arial" w:hAnsi="Arial" w:cs="Arial"/>
          <w:b/>
          <w:lang w:val="es-ES"/>
        </w:rPr>
        <w:t>:</w:t>
      </w:r>
    </w:p>
    <w:p w:rsidR="008A6C2C" w:rsidRPr="001F29AA" w:rsidRDefault="00141E3F" w:rsidP="001F29AA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F29AA">
        <w:rPr>
          <w:rFonts w:ascii="Arial" w:hAnsi="Arial" w:cs="Arial"/>
          <w:lang w:val="es-ES"/>
        </w:rPr>
        <w:t># La presente Norma contiene remisiones externas #</w:t>
      </w:r>
    </w:p>
    <w:p w:rsidR="00141E3F" w:rsidRPr="001F29AA" w:rsidRDefault="00141E3F" w:rsidP="001F29AA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F29AA">
        <w:rPr>
          <w:rFonts w:ascii="Arial" w:hAnsi="Arial" w:cs="Arial"/>
          <w:lang w:val="es-ES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sectPr w:rsidR="00141E3F" w:rsidRPr="001F29AA" w:rsidSect="001F29A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40504"/>
    <w:multiLevelType w:val="hybridMultilevel"/>
    <w:tmpl w:val="B2F4C9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94E0C"/>
    <w:multiLevelType w:val="hybridMultilevel"/>
    <w:tmpl w:val="4D005048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AC9209D"/>
    <w:multiLevelType w:val="hybridMultilevel"/>
    <w:tmpl w:val="E2A0AA1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821813"/>
    <w:multiLevelType w:val="hybridMultilevel"/>
    <w:tmpl w:val="A83C75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41E3F"/>
    <w:rsid w:val="00141E3F"/>
    <w:rsid w:val="001F29AA"/>
    <w:rsid w:val="00347E08"/>
    <w:rsid w:val="0060115A"/>
    <w:rsid w:val="00664820"/>
    <w:rsid w:val="00846249"/>
    <w:rsid w:val="008A6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2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41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1E3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41E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540</Words>
  <Characters>2975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2014-10-21T21:27:00Z</dcterms:created>
  <dcterms:modified xsi:type="dcterms:W3CDTF">2015-09-25T18:04:00Z</dcterms:modified>
</cp:coreProperties>
</file>