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53C" w:rsidRDefault="00E9653C" w:rsidP="003E44D7">
      <w:pPr>
        <w:tabs>
          <w:tab w:val="left" w:pos="3900"/>
        </w:tabs>
        <w:jc w:val="both"/>
        <w:rPr>
          <w:rFonts w:ascii="Arial" w:hAnsi="Arial" w:cs="Arial"/>
          <w:b/>
          <w:sz w:val="22"/>
          <w:szCs w:val="22"/>
        </w:rPr>
      </w:pPr>
      <w:r w:rsidRPr="003E44D7">
        <w:rPr>
          <w:rFonts w:ascii="Arial" w:hAnsi="Arial" w:cs="Arial"/>
          <w:b/>
          <w:sz w:val="22"/>
          <w:szCs w:val="22"/>
        </w:rPr>
        <w:t>2007-01-0936</w:t>
      </w:r>
      <w:r w:rsidRPr="003E44D7">
        <w:rPr>
          <w:rFonts w:ascii="Arial" w:hAnsi="Arial" w:cs="Arial"/>
          <w:b/>
          <w:sz w:val="22"/>
          <w:szCs w:val="22"/>
        </w:rPr>
        <w:tab/>
      </w:r>
    </w:p>
    <w:p w:rsidR="003E44D7" w:rsidRPr="003E44D7" w:rsidRDefault="003E44D7" w:rsidP="003E44D7">
      <w:pPr>
        <w:tabs>
          <w:tab w:val="left" w:pos="3900"/>
        </w:tabs>
        <w:jc w:val="both"/>
        <w:rPr>
          <w:rFonts w:ascii="Arial" w:hAnsi="Arial" w:cs="Arial"/>
          <w:b/>
          <w:sz w:val="22"/>
          <w:szCs w:val="22"/>
        </w:rPr>
      </w:pPr>
    </w:p>
    <w:p w:rsidR="00E9653C" w:rsidRPr="003E44D7" w:rsidRDefault="00E9653C" w:rsidP="00EC208B">
      <w:pPr>
        <w:jc w:val="center"/>
        <w:rPr>
          <w:rFonts w:ascii="Arial" w:hAnsi="Arial" w:cs="Arial"/>
          <w:b/>
          <w:sz w:val="22"/>
          <w:szCs w:val="22"/>
        </w:rPr>
      </w:pPr>
      <w:r w:rsidRPr="003E44D7">
        <w:rPr>
          <w:rFonts w:ascii="Arial" w:hAnsi="Arial" w:cs="Arial"/>
          <w:b/>
          <w:sz w:val="22"/>
          <w:szCs w:val="22"/>
        </w:rPr>
        <w:t>LEY I - Nº 2</w:t>
      </w:r>
      <w:r w:rsidR="003E44D7">
        <w:rPr>
          <w:rFonts w:ascii="Arial" w:hAnsi="Arial" w:cs="Arial"/>
          <w:b/>
          <w:sz w:val="22"/>
          <w:szCs w:val="22"/>
        </w:rPr>
        <w:t>.</w:t>
      </w:r>
      <w:r w:rsidRPr="003E44D7">
        <w:rPr>
          <w:rFonts w:ascii="Arial" w:hAnsi="Arial" w:cs="Arial"/>
          <w:b/>
          <w:sz w:val="22"/>
          <w:szCs w:val="22"/>
        </w:rPr>
        <w:t>184</w:t>
      </w:r>
    </w:p>
    <w:p w:rsidR="006554A1" w:rsidRPr="003E44D7" w:rsidRDefault="006554A1" w:rsidP="003E44D7">
      <w:pPr>
        <w:jc w:val="center"/>
        <w:rPr>
          <w:rFonts w:ascii="Arial" w:hAnsi="Arial" w:cs="Arial"/>
          <w:sz w:val="22"/>
          <w:szCs w:val="22"/>
        </w:rPr>
      </w:pPr>
    </w:p>
    <w:p w:rsidR="00E9653C" w:rsidRPr="003E44D7" w:rsidRDefault="00E9653C" w:rsidP="003E44D7">
      <w:pPr>
        <w:jc w:val="center"/>
        <w:rPr>
          <w:rFonts w:ascii="Arial" w:hAnsi="Arial" w:cs="Arial"/>
          <w:sz w:val="22"/>
          <w:szCs w:val="22"/>
        </w:rPr>
      </w:pPr>
      <w:r w:rsidRPr="003E44D7">
        <w:rPr>
          <w:rFonts w:ascii="Arial" w:hAnsi="Arial" w:cs="Arial"/>
          <w:sz w:val="22"/>
          <w:szCs w:val="22"/>
        </w:rPr>
        <w:t>TELEFONÍA CELULAR - NOTIFICACIÓN DE ALTA</w:t>
      </w:r>
    </w:p>
    <w:p w:rsidR="00E9653C" w:rsidRPr="003E44D7" w:rsidRDefault="00E9653C" w:rsidP="003E44D7">
      <w:pPr>
        <w:jc w:val="both"/>
        <w:rPr>
          <w:rFonts w:ascii="Arial" w:hAnsi="Arial" w:cs="Arial"/>
          <w:sz w:val="22"/>
          <w:szCs w:val="22"/>
        </w:rPr>
      </w:pPr>
    </w:p>
    <w:p w:rsidR="00E9653C" w:rsidRPr="003E44D7" w:rsidRDefault="00E9653C" w:rsidP="003E44D7">
      <w:pPr>
        <w:jc w:val="both"/>
        <w:rPr>
          <w:rFonts w:ascii="Arial" w:hAnsi="Arial" w:cs="Arial"/>
          <w:sz w:val="22"/>
          <w:szCs w:val="22"/>
        </w:rPr>
      </w:pPr>
      <w:r w:rsidRPr="003E44D7">
        <w:rPr>
          <w:rFonts w:ascii="Arial" w:hAnsi="Arial" w:cs="Arial"/>
          <w:sz w:val="22"/>
          <w:szCs w:val="22"/>
        </w:rPr>
        <w:t xml:space="preserve">Artículo 1°.- </w:t>
      </w:r>
      <w:r w:rsidRPr="003E44D7">
        <w:rPr>
          <w:rFonts w:ascii="Arial" w:hAnsi="Arial" w:cs="Arial"/>
          <w:i/>
          <w:sz w:val="22"/>
          <w:szCs w:val="22"/>
        </w:rPr>
        <w:t>Alta del servicio. Notificación</w:t>
      </w:r>
      <w:r w:rsidRPr="003E44D7">
        <w:rPr>
          <w:rFonts w:ascii="Arial" w:hAnsi="Arial" w:cs="Arial"/>
          <w:sz w:val="22"/>
          <w:szCs w:val="22"/>
        </w:rPr>
        <w:t>.</w:t>
      </w:r>
      <w:r w:rsidR="002D1DDF" w:rsidRPr="003E44D7">
        <w:rPr>
          <w:rFonts w:ascii="Arial" w:hAnsi="Arial" w:cs="Arial"/>
          <w:sz w:val="22"/>
          <w:szCs w:val="22"/>
        </w:rPr>
        <w:t>-</w:t>
      </w:r>
      <w:r w:rsidRPr="003E44D7">
        <w:rPr>
          <w:rFonts w:ascii="Arial" w:hAnsi="Arial" w:cs="Arial"/>
          <w:sz w:val="22"/>
          <w:szCs w:val="22"/>
        </w:rPr>
        <w:t xml:space="preserve"> Las empresas proveedoras de servicios y/o equipos de telefonía celular que operen en la Ciudad Autónoma de Buenos Aires, deben entregar una notificación de alta del servicio para todos los servicios que sean comercializados conforme la Ley Nacional N° 25.891 de Servicios de Comunicaciones Móviles # (B.O. N° 30.407), sea cual fuere la modalidad de contrato. </w:t>
      </w:r>
    </w:p>
    <w:p w:rsidR="00E9653C" w:rsidRPr="003E44D7" w:rsidRDefault="00E9653C" w:rsidP="003E44D7">
      <w:pPr>
        <w:jc w:val="both"/>
        <w:rPr>
          <w:rFonts w:ascii="Arial" w:hAnsi="Arial" w:cs="Arial"/>
          <w:sz w:val="22"/>
          <w:szCs w:val="22"/>
        </w:rPr>
      </w:pPr>
    </w:p>
    <w:p w:rsidR="00E9653C" w:rsidRPr="003E44D7" w:rsidRDefault="00E9653C" w:rsidP="003E44D7">
      <w:pPr>
        <w:jc w:val="both"/>
        <w:rPr>
          <w:rFonts w:ascii="Arial" w:hAnsi="Arial" w:cs="Arial"/>
          <w:sz w:val="22"/>
          <w:szCs w:val="22"/>
        </w:rPr>
      </w:pPr>
      <w:r w:rsidRPr="003E44D7">
        <w:rPr>
          <w:rFonts w:ascii="Arial" w:hAnsi="Arial" w:cs="Arial"/>
          <w:sz w:val="22"/>
          <w:szCs w:val="22"/>
        </w:rPr>
        <w:t xml:space="preserve">Artículo 2°.- </w:t>
      </w:r>
      <w:r w:rsidRPr="003E44D7">
        <w:rPr>
          <w:rFonts w:ascii="Arial" w:hAnsi="Arial" w:cs="Arial"/>
          <w:i/>
          <w:sz w:val="22"/>
          <w:szCs w:val="22"/>
        </w:rPr>
        <w:t>Domicilio de notificación.</w:t>
      </w:r>
      <w:r w:rsidR="002D1DDF" w:rsidRPr="003E44D7">
        <w:rPr>
          <w:rFonts w:ascii="Arial" w:hAnsi="Arial" w:cs="Arial"/>
          <w:i/>
          <w:sz w:val="22"/>
          <w:szCs w:val="22"/>
        </w:rPr>
        <w:t>-</w:t>
      </w:r>
      <w:r w:rsidRPr="003E44D7">
        <w:rPr>
          <w:rFonts w:ascii="Arial" w:hAnsi="Arial" w:cs="Arial"/>
          <w:sz w:val="22"/>
          <w:szCs w:val="22"/>
        </w:rPr>
        <w:t xml:space="preserve"> La notificación establecida por el artículo 1° de la presente ley debe enviarse al domicilio que el titular de la línea determine. En caso de no coincidir dicha determinación con el domicilio consignado en el DNI del titular de la línea, la empresa debe enviar una copia de la notificación a ambos domicilios. </w:t>
      </w:r>
    </w:p>
    <w:p w:rsidR="00E9653C" w:rsidRPr="003E44D7" w:rsidRDefault="00E9653C" w:rsidP="003E44D7">
      <w:pPr>
        <w:jc w:val="both"/>
        <w:rPr>
          <w:rFonts w:ascii="Arial" w:hAnsi="Arial" w:cs="Arial"/>
          <w:sz w:val="22"/>
          <w:szCs w:val="22"/>
        </w:rPr>
      </w:pPr>
    </w:p>
    <w:p w:rsidR="00E9653C" w:rsidRPr="003E44D7" w:rsidRDefault="00E9653C" w:rsidP="003E44D7">
      <w:pPr>
        <w:jc w:val="both"/>
        <w:rPr>
          <w:rFonts w:ascii="Arial" w:hAnsi="Arial" w:cs="Arial"/>
          <w:sz w:val="22"/>
          <w:szCs w:val="22"/>
        </w:rPr>
      </w:pPr>
      <w:r w:rsidRPr="003E44D7">
        <w:rPr>
          <w:rFonts w:ascii="Arial" w:hAnsi="Arial" w:cs="Arial"/>
          <w:sz w:val="22"/>
          <w:szCs w:val="22"/>
        </w:rPr>
        <w:t xml:space="preserve">Artículo 3°.- </w:t>
      </w:r>
      <w:r w:rsidRPr="003E44D7">
        <w:rPr>
          <w:rFonts w:ascii="Arial" w:hAnsi="Arial" w:cs="Arial"/>
          <w:i/>
          <w:sz w:val="22"/>
          <w:szCs w:val="22"/>
        </w:rPr>
        <w:t>Procedimiento.</w:t>
      </w:r>
      <w:r w:rsidR="002D1DDF" w:rsidRPr="003E44D7">
        <w:rPr>
          <w:rFonts w:ascii="Arial" w:hAnsi="Arial" w:cs="Arial"/>
          <w:i/>
          <w:sz w:val="22"/>
          <w:szCs w:val="22"/>
        </w:rPr>
        <w:t>-</w:t>
      </w:r>
      <w:r w:rsidRPr="003E44D7">
        <w:rPr>
          <w:rFonts w:ascii="Arial" w:hAnsi="Arial" w:cs="Arial"/>
          <w:sz w:val="22"/>
          <w:szCs w:val="22"/>
        </w:rPr>
        <w:t xml:space="preserve"> El régimen procedimental aplicable es el establecido en la Ley N° 757 -Procedimiento Administrativo para la Defensa del Consumidor y del Usuario- # (BOCBA N° 1432).</w:t>
      </w:r>
    </w:p>
    <w:p w:rsidR="00E9653C" w:rsidRPr="003E44D7" w:rsidRDefault="00E9653C" w:rsidP="003E44D7">
      <w:pPr>
        <w:jc w:val="both"/>
        <w:rPr>
          <w:rFonts w:ascii="Arial" w:hAnsi="Arial" w:cs="Arial"/>
          <w:sz w:val="22"/>
          <w:szCs w:val="22"/>
        </w:rPr>
      </w:pPr>
    </w:p>
    <w:p w:rsidR="00E9653C" w:rsidRPr="003E44D7" w:rsidRDefault="00E9653C" w:rsidP="003E44D7">
      <w:pPr>
        <w:jc w:val="both"/>
        <w:rPr>
          <w:rFonts w:ascii="Arial" w:hAnsi="Arial" w:cs="Arial"/>
          <w:sz w:val="22"/>
          <w:szCs w:val="22"/>
        </w:rPr>
      </w:pPr>
      <w:r w:rsidRPr="003E44D7">
        <w:rPr>
          <w:rFonts w:ascii="Arial" w:hAnsi="Arial" w:cs="Arial"/>
          <w:sz w:val="22"/>
          <w:szCs w:val="22"/>
        </w:rPr>
        <w:t xml:space="preserve">Artículo 4°.- </w:t>
      </w:r>
      <w:r w:rsidRPr="003E44D7">
        <w:rPr>
          <w:rFonts w:ascii="Arial" w:hAnsi="Arial" w:cs="Arial"/>
          <w:i/>
          <w:sz w:val="22"/>
          <w:szCs w:val="22"/>
        </w:rPr>
        <w:t>Autoridad de aplicación.</w:t>
      </w:r>
      <w:r w:rsidR="002D1DDF" w:rsidRPr="003E44D7">
        <w:rPr>
          <w:rFonts w:ascii="Arial" w:hAnsi="Arial" w:cs="Arial"/>
          <w:i/>
          <w:sz w:val="22"/>
          <w:szCs w:val="22"/>
        </w:rPr>
        <w:t>-</w:t>
      </w:r>
      <w:r w:rsidRPr="003E44D7">
        <w:rPr>
          <w:rFonts w:ascii="Arial" w:hAnsi="Arial" w:cs="Arial"/>
          <w:sz w:val="22"/>
          <w:szCs w:val="22"/>
        </w:rPr>
        <w:t xml:space="preserve"> La Dirección General de Defensa y Protección al Consumidor u organismo que en el futuro la reemplace es la autorida</w:t>
      </w:r>
      <w:r w:rsidR="00105E38">
        <w:rPr>
          <w:rFonts w:ascii="Arial" w:hAnsi="Arial" w:cs="Arial"/>
          <w:sz w:val="22"/>
          <w:szCs w:val="22"/>
        </w:rPr>
        <w:t>d de aplicación de la presente L</w:t>
      </w:r>
      <w:r w:rsidRPr="003E44D7">
        <w:rPr>
          <w:rFonts w:ascii="Arial" w:hAnsi="Arial" w:cs="Arial"/>
          <w:sz w:val="22"/>
          <w:szCs w:val="22"/>
        </w:rPr>
        <w:t>ey.</w:t>
      </w:r>
    </w:p>
    <w:p w:rsidR="006554A1" w:rsidRPr="003E44D7" w:rsidRDefault="006554A1" w:rsidP="003E44D7">
      <w:pPr>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872"/>
        <w:gridCol w:w="4128"/>
      </w:tblGrid>
      <w:tr w:rsidR="00E9653C" w:rsidRPr="003E44D7" w:rsidTr="003E44D7">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E9653C" w:rsidRPr="003E44D7" w:rsidRDefault="00E9653C" w:rsidP="003E44D7">
            <w:pPr>
              <w:pStyle w:val="Textosinformato"/>
              <w:spacing w:before="240"/>
              <w:jc w:val="center"/>
              <w:rPr>
                <w:rFonts w:ascii="Arial" w:hAnsi="Arial" w:cs="Arial"/>
                <w:b/>
                <w:sz w:val="22"/>
              </w:rPr>
            </w:pPr>
            <w:r w:rsidRPr="003E44D7">
              <w:rPr>
                <w:rFonts w:ascii="Arial" w:hAnsi="Arial" w:cs="Arial"/>
                <w:b/>
                <w:sz w:val="22"/>
                <w:szCs w:val="22"/>
              </w:rPr>
              <w:t xml:space="preserve">LEY </w:t>
            </w:r>
            <w:r w:rsidRPr="003E44D7">
              <w:rPr>
                <w:rFonts w:ascii="Arial" w:hAnsi="Arial" w:cs="Arial"/>
                <w:b/>
                <w:bCs/>
                <w:sz w:val="22"/>
                <w:szCs w:val="22"/>
              </w:rPr>
              <w:t xml:space="preserve">I – </w:t>
            </w:r>
            <w:r w:rsidRPr="003E44D7">
              <w:rPr>
                <w:rFonts w:ascii="Arial" w:hAnsi="Arial" w:cs="Arial"/>
                <w:b/>
                <w:sz w:val="22"/>
                <w:szCs w:val="22"/>
              </w:rPr>
              <w:t>Nº 2</w:t>
            </w:r>
            <w:r w:rsidR="003E44D7">
              <w:rPr>
                <w:rFonts w:ascii="Arial" w:hAnsi="Arial" w:cs="Arial"/>
                <w:b/>
                <w:sz w:val="22"/>
                <w:szCs w:val="22"/>
              </w:rPr>
              <w:t>.</w:t>
            </w:r>
            <w:r w:rsidRPr="003E44D7">
              <w:rPr>
                <w:rFonts w:ascii="Arial" w:hAnsi="Arial" w:cs="Arial"/>
                <w:b/>
                <w:sz w:val="22"/>
                <w:szCs w:val="22"/>
              </w:rPr>
              <w:t>184</w:t>
            </w:r>
          </w:p>
          <w:p w:rsidR="00E9653C" w:rsidRPr="003E44D7" w:rsidRDefault="00E9653C" w:rsidP="003E44D7">
            <w:pPr>
              <w:pStyle w:val="Textosinformato"/>
              <w:jc w:val="center"/>
              <w:rPr>
                <w:rFonts w:ascii="Arial" w:hAnsi="Arial" w:cs="Arial"/>
                <w:b/>
                <w:sz w:val="22"/>
              </w:rPr>
            </w:pPr>
            <w:r w:rsidRPr="003E44D7">
              <w:rPr>
                <w:rFonts w:ascii="Arial" w:hAnsi="Arial" w:cs="Arial"/>
                <w:b/>
                <w:sz w:val="22"/>
                <w:szCs w:val="22"/>
              </w:rPr>
              <w:t>TABLA DE ANTECEDENTES</w:t>
            </w:r>
          </w:p>
        </w:tc>
      </w:tr>
      <w:tr w:rsidR="00E9653C" w:rsidRPr="003E44D7" w:rsidTr="002856A6">
        <w:trPr>
          <w:jc w:val="center"/>
        </w:trPr>
        <w:tc>
          <w:tcPr>
            <w:tcW w:w="4872" w:type="dxa"/>
            <w:tcBorders>
              <w:top w:val="single" w:sz="6" w:space="0" w:color="auto"/>
              <w:left w:val="single" w:sz="4" w:space="0" w:color="auto"/>
              <w:bottom w:val="single" w:sz="6" w:space="0" w:color="auto"/>
              <w:right w:val="single" w:sz="6" w:space="0" w:color="auto"/>
            </w:tcBorders>
            <w:vAlign w:val="center"/>
            <w:hideMark/>
          </w:tcPr>
          <w:p w:rsidR="00E9653C" w:rsidRPr="003E44D7" w:rsidRDefault="00E9653C" w:rsidP="002856A6">
            <w:pPr>
              <w:pStyle w:val="Textosinformato"/>
              <w:jc w:val="center"/>
              <w:rPr>
                <w:rFonts w:ascii="Arial" w:hAnsi="Arial" w:cs="Arial"/>
                <w:b/>
                <w:sz w:val="22"/>
              </w:rPr>
            </w:pPr>
            <w:r w:rsidRPr="003E44D7">
              <w:rPr>
                <w:rFonts w:ascii="Arial" w:hAnsi="Arial" w:cs="Arial"/>
                <w:b/>
                <w:sz w:val="22"/>
                <w:szCs w:val="22"/>
              </w:rPr>
              <w:t>Número de Artículo del Texto</w:t>
            </w:r>
            <w:r w:rsidR="002856A6">
              <w:rPr>
                <w:rFonts w:ascii="Arial" w:hAnsi="Arial" w:cs="Arial"/>
                <w:b/>
                <w:sz w:val="22"/>
              </w:rPr>
              <w:t xml:space="preserve"> </w:t>
            </w:r>
            <w:r w:rsidRPr="003E44D7">
              <w:rPr>
                <w:rFonts w:ascii="Arial" w:hAnsi="Arial" w:cs="Arial"/>
                <w:b/>
                <w:sz w:val="22"/>
                <w:szCs w:val="22"/>
              </w:rPr>
              <w:t>Definitivo</w:t>
            </w:r>
          </w:p>
        </w:tc>
        <w:tc>
          <w:tcPr>
            <w:tcW w:w="4128" w:type="dxa"/>
            <w:tcBorders>
              <w:top w:val="single" w:sz="6" w:space="0" w:color="auto"/>
              <w:left w:val="single" w:sz="6" w:space="0" w:color="auto"/>
              <w:bottom w:val="single" w:sz="6" w:space="0" w:color="auto"/>
              <w:right w:val="single" w:sz="4" w:space="0" w:color="auto"/>
            </w:tcBorders>
            <w:vAlign w:val="center"/>
            <w:hideMark/>
          </w:tcPr>
          <w:p w:rsidR="00E9653C" w:rsidRPr="003E44D7" w:rsidRDefault="00E9653C" w:rsidP="003E44D7">
            <w:pPr>
              <w:pStyle w:val="Textosinformato"/>
              <w:jc w:val="center"/>
              <w:rPr>
                <w:rFonts w:ascii="Arial" w:hAnsi="Arial" w:cs="Arial"/>
                <w:b/>
                <w:sz w:val="22"/>
              </w:rPr>
            </w:pPr>
            <w:r w:rsidRPr="003E44D7">
              <w:rPr>
                <w:rFonts w:ascii="Arial" w:hAnsi="Arial" w:cs="Arial"/>
                <w:b/>
                <w:sz w:val="22"/>
                <w:szCs w:val="22"/>
              </w:rPr>
              <w:t>Fuente</w:t>
            </w:r>
          </w:p>
        </w:tc>
      </w:tr>
      <w:tr w:rsidR="00E9653C" w:rsidRPr="003E44D7" w:rsidTr="003E44D7">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hideMark/>
          </w:tcPr>
          <w:p w:rsidR="006554A1" w:rsidRPr="003E44D7" w:rsidRDefault="008313E7" w:rsidP="003E44D7">
            <w:pPr>
              <w:jc w:val="center"/>
              <w:rPr>
                <w:rFonts w:ascii="Arial" w:hAnsi="Arial" w:cs="Arial"/>
              </w:rPr>
            </w:pPr>
            <w:r w:rsidRPr="003E44D7">
              <w:rPr>
                <w:rFonts w:ascii="Arial" w:hAnsi="Arial" w:cs="Arial"/>
                <w:sz w:val="22"/>
                <w:szCs w:val="22"/>
              </w:rPr>
              <w:t>Todos los artículos de este Texto Definitivo provienen del texto original de la Ley Nº 2</w:t>
            </w:r>
            <w:r w:rsidR="00EC208B">
              <w:rPr>
                <w:rFonts w:ascii="Arial" w:hAnsi="Arial" w:cs="Arial"/>
                <w:sz w:val="22"/>
                <w:szCs w:val="22"/>
              </w:rPr>
              <w:t>.</w:t>
            </w:r>
            <w:r w:rsidRPr="003E44D7">
              <w:rPr>
                <w:rFonts w:ascii="Arial" w:hAnsi="Arial" w:cs="Arial"/>
                <w:sz w:val="22"/>
                <w:szCs w:val="22"/>
              </w:rPr>
              <w:t>184</w:t>
            </w:r>
          </w:p>
        </w:tc>
      </w:tr>
    </w:tbl>
    <w:p w:rsidR="00E9653C" w:rsidRPr="003E44D7" w:rsidRDefault="00E9653C" w:rsidP="003E44D7">
      <w:pPr>
        <w:pStyle w:val="Textosinformato"/>
        <w:jc w:val="both"/>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3715"/>
        <w:gridCol w:w="2375"/>
      </w:tblGrid>
      <w:tr w:rsidR="00E9653C" w:rsidRPr="003E44D7" w:rsidTr="003E44D7">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E9653C" w:rsidRPr="003E44D7" w:rsidRDefault="00E9653C" w:rsidP="003E44D7">
            <w:pPr>
              <w:pStyle w:val="Textosinformato"/>
              <w:spacing w:before="240"/>
              <w:jc w:val="center"/>
              <w:rPr>
                <w:rFonts w:ascii="Arial" w:hAnsi="Arial" w:cs="Arial"/>
                <w:b/>
                <w:sz w:val="22"/>
              </w:rPr>
            </w:pPr>
            <w:r w:rsidRPr="003E44D7">
              <w:rPr>
                <w:rFonts w:ascii="Arial" w:hAnsi="Arial" w:cs="Arial"/>
                <w:b/>
                <w:sz w:val="22"/>
                <w:szCs w:val="22"/>
              </w:rPr>
              <w:t xml:space="preserve">LEY </w:t>
            </w:r>
            <w:r w:rsidRPr="003E44D7">
              <w:rPr>
                <w:rFonts w:ascii="Arial" w:hAnsi="Arial" w:cs="Arial"/>
                <w:b/>
                <w:bCs/>
                <w:sz w:val="22"/>
                <w:szCs w:val="22"/>
              </w:rPr>
              <w:t xml:space="preserve">I – </w:t>
            </w:r>
            <w:r w:rsidRPr="003E44D7">
              <w:rPr>
                <w:rFonts w:ascii="Arial" w:hAnsi="Arial" w:cs="Arial"/>
                <w:b/>
                <w:sz w:val="22"/>
                <w:szCs w:val="22"/>
              </w:rPr>
              <w:t>Nº 2</w:t>
            </w:r>
            <w:r w:rsidR="003E44D7">
              <w:rPr>
                <w:rFonts w:ascii="Arial" w:hAnsi="Arial" w:cs="Arial"/>
                <w:b/>
                <w:sz w:val="22"/>
                <w:szCs w:val="22"/>
              </w:rPr>
              <w:t>.</w:t>
            </w:r>
            <w:r w:rsidRPr="003E44D7">
              <w:rPr>
                <w:rFonts w:ascii="Arial" w:hAnsi="Arial" w:cs="Arial"/>
                <w:b/>
                <w:sz w:val="22"/>
                <w:szCs w:val="22"/>
              </w:rPr>
              <w:t>184</w:t>
            </w:r>
          </w:p>
          <w:p w:rsidR="00E9653C" w:rsidRPr="003E44D7" w:rsidRDefault="00E9653C" w:rsidP="003E44D7">
            <w:pPr>
              <w:pStyle w:val="Textosinformato"/>
              <w:jc w:val="center"/>
              <w:rPr>
                <w:rFonts w:ascii="Arial" w:hAnsi="Arial" w:cs="Arial"/>
                <w:b/>
                <w:sz w:val="22"/>
              </w:rPr>
            </w:pPr>
            <w:r w:rsidRPr="003E44D7">
              <w:rPr>
                <w:rFonts w:ascii="Arial" w:hAnsi="Arial" w:cs="Arial"/>
                <w:b/>
                <w:sz w:val="22"/>
                <w:szCs w:val="22"/>
              </w:rPr>
              <w:t>TABLA DE EQUIVALENCIAS</w:t>
            </w:r>
          </w:p>
        </w:tc>
      </w:tr>
      <w:tr w:rsidR="00E9653C" w:rsidRPr="003E44D7" w:rsidTr="002856A6">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E9653C" w:rsidRPr="003E44D7" w:rsidRDefault="00E9653C" w:rsidP="003E44D7">
            <w:pPr>
              <w:jc w:val="center"/>
              <w:rPr>
                <w:rFonts w:ascii="Arial" w:hAnsi="Arial" w:cs="Arial"/>
                <w:b/>
              </w:rPr>
            </w:pPr>
            <w:r w:rsidRPr="003E44D7">
              <w:rPr>
                <w:rFonts w:ascii="Arial" w:hAnsi="Arial" w:cs="Arial"/>
                <w:b/>
                <w:sz w:val="22"/>
                <w:szCs w:val="22"/>
              </w:rPr>
              <w:t>Número de artículo</w:t>
            </w:r>
          </w:p>
          <w:p w:rsidR="00E9653C" w:rsidRPr="003E44D7" w:rsidRDefault="00E9653C" w:rsidP="003E44D7">
            <w:pPr>
              <w:jc w:val="center"/>
              <w:rPr>
                <w:rFonts w:ascii="Arial" w:hAnsi="Arial" w:cs="Arial"/>
                <w:b/>
              </w:rPr>
            </w:pPr>
            <w:r w:rsidRPr="003E44D7">
              <w:rPr>
                <w:rFonts w:ascii="Arial" w:hAnsi="Arial" w:cs="Arial"/>
                <w:b/>
                <w:sz w:val="22"/>
                <w:szCs w:val="22"/>
              </w:rPr>
              <w:t>Del Texto Definitivo</w:t>
            </w:r>
          </w:p>
        </w:tc>
        <w:tc>
          <w:tcPr>
            <w:tcW w:w="3715" w:type="dxa"/>
            <w:tcBorders>
              <w:top w:val="single" w:sz="4" w:space="0" w:color="auto"/>
              <w:left w:val="single" w:sz="4" w:space="0" w:color="auto"/>
              <w:bottom w:val="single" w:sz="4" w:space="0" w:color="auto"/>
              <w:right w:val="single" w:sz="4" w:space="0" w:color="auto"/>
            </w:tcBorders>
            <w:vAlign w:val="center"/>
            <w:hideMark/>
          </w:tcPr>
          <w:p w:rsidR="00E9653C" w:rsidRPr="003E44D7" w:rsidRDefault="00E9653C" w:rsidP="002856A6">
            <w:pPr>
              <w:jc w:val="center"/>
              <w:rPr>
                <w:rFonts w:ascii="Arial" w:hAnsi="Arial" w:cs="Arial"/>
                <w:b/>
              </w:rPr>
            </w:pPr>
            <w:r w:rsidRPr="003E44D7">
              <w:rPr>
                <w:rFonts w:ascii="Arial" w:hAnsi="Arial" w:cs="Arial"/>
                <w:b/>
                <w:sz w:val="22"/>
                <w:szCs w:val="22"/>
              </w:rPr>
              <w:t>Número de artículo</w:t>
            </w:r>
            <w:r w:rsidR="002856A6">
              <w:rPr>
                <w:rFonts w:ascii="Arial" w:hAnsi="Arial" w:cs="Arial"/>
                <w:b/>
              </w:rPr>
              <w:t xml:space="preserve"> </w:t>
            </w:r>
            <w:r w:rsidRPr="003E44D7">
              <w:rPr>
                <w:rFonts w:ascii="Arial" w:hAnsi="Arial" w:cs="Arial"/>
                <w:b/>
                <w:sz w:val="22"/>
                <w:szCs w:val="22"/>
              </w:rPr>
              <w:t>del Texto de Referencia (Ley Nº 2</w:t>
            </w:r>
            <w:r w:rsidR="00EC208B">
              <w:rPr>
                <w:rFonts w:ascii="Arial" w:hAnsi="Arial" w:cs="Arial"/>
                <w:b/>
                <w:sz w:val="22"/>
                <w:szCs w:val="22"/>
              </w:rPr>
              <w:t>.</w:t>
            </w:r>
            <w:r w:rsidRPr="003E44D7">
              <w:rPr>
                <w:rFonts w:ascii="Arial" w:hAnsi="Arial" w:cs="Arial"/>
                <w:b/>
                <w:sz w:val="22"/>
                <w:szCs w:val="22"/>
              </w:rPr>
              <w:t>184)</w:t>
            </w:r>
          </w:p>
        </w:tc>
        <w:tc>
          <w:tcPr>
            <w:tcW w:w="2375" w:type="dxa"/>
            <w:tcBorders>
              <w:top w:val="single" w:sz="4" w:space="0" w:color="auto"/>
              <w:left w:val="single" w:sz="4" w:space="0" w:color="auto"/>
              <w:bottom w:val="single" w:sz="4" w:space="0" w:color="auto"/>
              <w:right w:val="single" w:sz="4" w:space="0" w:color="auto"/>
            </w:tcBorders>
            <w:vAlign w:val="center"/>
            <w:hideMark/>
          </w:tcPr>
          <w:p w:rsidR="00E9653C" w:rsidRPr="003E44D7" w:rsidRDefault="00E9653C" w:rsidP="003E44D7">
            <w:pPr>
              <w:jc w:val="center"/>
              <w:rPr>
                <w:rFonts w:ascii="Arial" w:hAnsi="Arial" w:cs="Arial"/>
                <w:b/>
              </w:rPr>
            </w:pPr>
            <w:r w:rsidRPr="003E44D7">
              <w:rPr>
                <w:rFonts w:ascii="Arial" w:hAnsi="Arial" w:cs="Arial"/>
                <w:b/>
                <w:sz w:val="22"/>
                <w:szCs w:val="22"/>
              </w:rPr>
              <w:t>Observaciones</w:t>
            </w:r>
          </w:p>
        </w:tc>
      </w:tr>
      <w:tr w:rsidR="00E9653C" w:rsidRPr="003E44D7" w:rsidTr="003E44D7">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6554A1" w:rsidRPr="003E44D7" w:rsidRDefault="008313E7" w:rsidP="003E44D7">
            <w:pPr>
              <w:jc w:val="center"/>
              <w:rPr>
                <w:rFonts w:ascii="Arial" w:hAnsi="Arial" w:cs="Arial"/>
              </w:rPr>
            </w:pPr>
            <w:r w:rsidRPr="003E44D7">
              <w:rPr>
                <w:rFonts w:ascii="Arial" w:hAnsi="Arial" w:cs="Arial"/>
                <w:sz w:val="22"/>
                <w:szCs w:val="22"/>
              </w:rPr>
              <w:t>La numeración de los artículos del texto definitivo corresponde a la numeración original de la Ley Nº 2</w:t>
            </w:r>
            <w:r w:rsidR="00EC208B">
              <w:rPr>
                <w:rFonts w:ascii="Arial" w:hAnsi="Arial" w:cs="Arial"/>
                <w:sz w:val="22"/>
                <w:szCs w:val="22"/>
              </w:rPr>
              <w:t>.</w:t>
            </w:r>
            <w:r w:rsidRPr="003E44D7">
              <w:rPr>
                <w:rFonts w:ascii="Arial" w:hAnsi="Arial" w:cs="Arial"/>
                <w:sz w:val="22"/>
                <w:szCs w:val="22"/>
              </w:rPr>
              <w:t>184</w:t>
            </w:r>
          </w:p>
        </w:tc>
      </w:tr>
    </w:tbl>
    <w:p w:rsidR="006554A1" w:rsidRPr="003E44D7" w:rsidRDefault="006554A1" w:rsidP="003E44D7">
      <w:pPr>
        <w:pStyle w:val="Textosinformato"/>
        <w:jc w:val="both"/>
        <w:rPr>
          <w:rFonts w:ascii="Arial" w:hAnsi="Arial" w:cs="Arial"/>
          <w:sz w:val="22"/>
          <w:szCs w:val="22"/>
        </w:rPr>
      </w:pPr>
    </w:p>
    <w:p w:rsidR="00E9653C" w:rsidRPr="003E44D7" w:rsidRDefault="00E9653C" w:rsidP="003E44D7">
      <w:pPr>
        <w:pStyle w:val="Textosinformato"/>
        <w:jc w:val="both"/>
        <w:rPr>
          <w:rFonts w:ascii="Arial" w:hAnsi="Arial" w:cs="Arial"/>
          <w:b/>
          <w:sz w:val="22"/>
          <w:szCs w:val="22"/>
          <w:u w:val="single"/>
        </w:rPr>
      </w:pPr>
      <w:r w:rsidRPr="003E44D7">
        <w:rPr>
          <w:rFonts w:ascii="Arial" w:hAnsi="Arial" w:cs="Arial"/>
          <w:b/>
          <w:sz w:val="22"/>
          <w:szCs w:val="22"/>
          <w:u w:val="single"/>
        </w:rPr>
        <w:lastRenderedPageBreak/>
        <w:t>Observaciones generales:</w:t>
      </w:r>
    </w:p>
    <w:p w:rsidR="00E9653C" w:rsidRPr="003E44D7" w:rsidRDefault="00E9653C" w:rsidP="003E44D7">
      <w:pPr>
        <w:pStyle w:val="Textosinformato"/>
        <w:numPr>
          <w:ilvl w:val="0"/>
          <w:numId w:val="3"/>
        </w:numPr>
        <w:ind w:left="567" w:hanging="567"/>
        <w:jc w:val="both"/>
        <w:rPr>
          <w:rFonts w:ascii="Arial" w:hAnsi="Arial" w:cs="Arial"/>
          <w:sz w:val="22"/>
          <w:szCs w:val="22"/>
        </w:rPr>
      </w:pPr>
      <w:r w:rsidRPr="003E44D7">
        <w:rPr>
          <w:rFonts w:ascii="Arial" w:hAnsi="Arial" w:cs="Arial"/>
          <w:sz w:val="22"/>
          <w:szCs w:val="22"/>
        </w:rPr>
        <w:t># La presente norma contiene remisiones externas #</w:t>
      </w:r>
    </w:p>
    <w:p w:rsidR="008313E7" w:rsidRPr="003E44D7" w:rsidRDefault="008313E7" w:rsidP="003E44D7">
      <w:pPr>
        <w:pStyle w:val="Prrafodelista"/>
        <w:numPr>
          <w:ilvl w:val="0"/>
          <w:numId w:val="3"/>
        </w:numPr>
        <w:ind w:left="567" w:hanging="567"/>
        <w:jc w:val="both"/>
        <w:rPr>
          <w:rFonts w:ascii="Arial" w:hAnsi="Arial" w:cs="Arial"/>
          <w:sz w:val="22"/>
          <w:szCs w:val="22"/>
        </w:rPr>
      </w:pPr>
      <w:r w:rsidRPr="003E44D7">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DA19F5" w:rsidRPr="003E44D7" w:rsidRDefault="00DA19F5" w:rsidP="003E44D7">
      <w:pPr>
        <w:pStyle w:val="Prrafodelista"/>
        <w:ind w:left="0"/>
        <w:rPr>
          <w:rFonts w:ascii="Arial" w:hAnsi="Arial" w:cs="Arial"/>
          <w:sz w:val="22"/>
          <w:szCs w:val="22"/>
        </w:rPr>
      </w:pPr>
    </w:p>
    <w:sectPr w:rsidR="00DA19F5" w:rsidRPr="003E44D7" w:rsidSect="003E44D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D295A"/>
    <w:multiLevelType w:val="hybridMultilevel"/>
    <w:tmpl w:val="5308BA1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5ECE4440"/>
    <w:multiLevelType w:val="hybridMultilevel"/>
    <w:tmpl w:val="2822FDD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2DB345D"/>
    <w:multiLevelType w:val="hybridMultilevel"/>
    <w:tmpl w:val="8424C7D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9653C"/>
    <w:rsid w:val="00105E38"/>
    <w:rsid w:val="001A46D6"/>
    <w:rsid w:val="002856A6"/>
    <w:rsid w:val="002D1DDF"/>
    <w:rsid w:val="003703F5"/>
    <w:rsid w:val="003E44D7"/>
    <w:rsid w:val="00474F8E"/>
    <w:rsid w:val="004965F2"/>
    <w:rsid w:val="006554A1"/>
    <w:rsid w:val="0082795D"/>
    <w:rsid w:val="008313E7"/>
    <w:rsid w:val="008A7B65"/>
    <w:rsid w:val="009B21ED"/>
    <w:rsid w:val="00B21F6B"/>
    <w:rsid w:val="00C1047E"/>
    <w:rsid w:val="00D67D58"/>
    <w:rsid w:val="00DA19F5"/>
    <w:rsid w:val="00E556C2"/>
    <w:rsid w:val="00E9653C"/>
    <w:rsid w:val="00EC208B"/>
    <w:rsid w:val="00ED147B"/>
    <w:rsid w:val="00F32DE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9653C"/>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nhideWhenUsed/>
    <w:rsid w:val="00E9653C"/>
    <w:rPr>
      <w:rFonts w:ascii="Courier New" w:hAnsi="Courier New"/>
      <w:sz w:val="20"/>
    </w:rPr>
  </w:style>
  <w:style w:type="character" w:customStyle="1" w:styleId="TextosinformatoCar">
    <w:name w:val="Texto sin formato Car"/>
    <w:basedOn w:val="Fuentedeprrafopredeter"/>
    <w:link w:val="Textosinformato"/>
    <w:rsid w:val="00E9653C"/>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8313E7"/>
    <w:pPr>
      <w:ind w:left="720"/>
      <w:contextualSpacing/>
    </w:pPr>
  </w:style>
</w:styles>
</file>

<file path=word/webSettings.xml><?xml version="1.0" encoding="utf-8"?>
<w:webSettings xmlns:r="http://schemas.openxmlformats.org/officeDocument/2006/relationships" xmlns:w="http://schemas.openxmlformats.org/wordprocessingml/2006/main">
  <w:divs>
    <w:div w:id="208988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733CC-E4E4-4B66-A53E-15AB3C0A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304</Words>
  <Characters>1672</Characters>
  <Application>Microsoft Office Word</Application>
  <DocSecurity>0</DocSecurity>
  <Lines>13</Lines>
  <Paragraphs>3</Paragraphs>
  <ScaleCrop>false</ScaleCrop>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2014-09-09T14:26:00Z</dcterms:created>
  <dcterms:modified xsi:type="dcterms:W3CDTF">2015-10-09T16:26:00Z</dcterms:modified>
</cp:coreProperties>
</file>