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4A245A" w:rsidP="00A6715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67155">
        <w:rPr>
          <w:rFonts w:ascii="Arial" w:hAnsi="Arial" w:cs="Arial"/>
          <w:b/>
          <w:sz w:val="22"/>
          <w:szCs w:val="22"/>
        </w:rPr>
        <w:t>2005-04-0563</w:t>
      </w:r>
    </w:p>
    <w:p w:rsidR="00A67155" w:rsidRPr="00A67155" w:rsidRDefault="00A67155" w:rsidP="00A6715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A67155" w:rsidRPr="00A67155" w:rsidRDefault="00AD1F00" w:rsidP="00A6715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D1F00">
        <w:rPr>
          <w:rFonts w:ascii="Arial" w:hAnsi="Arial" w:cs="Arial"/>
          <w:b/>
          <w:sz w:val="22"/>
          <w:szCs w:val="22"/>
        </w:rPr>
        <w:t>LEY G - N° 1.653</w:t>
      </w:r>
    </w:p>
    <w:p w:rsidR="00A67155" w:rsidRDefault="00A67155" w:rsidP="00A67155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4A245A" w:rsidRPr="00A67155" w:rsidRDefault="004A245A" w:rsidP="00A67155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A67155">
        <w:rPr>
          <w:rFonts w:ascii="Arial" w:hAnsi="Arial" w:cs="Arial"/>
          <w:color w:val="000000"/>
          <w:sz w:val="22"/>
          <w:szCs w:val="22"/>
        </w:rPr>
        <w:t>Artículo 1°.- La Legislatura de la Ciudad Autónoma de Buenos Aires declara Sitio Histórico al área que rodea a la Pirámide de Mayo, espacio en el cual se encuentran pintados los pañuelos que identifican a las Madres de Plaza de Mayo, de acuerdo a lo dispuesto en el art. 4°, inc. a), de la Ley N° 1.227 # (B.O. N° 1850).</w:t>
      </w:r>
    </w:p>
    <w:p w:rsidR="004A245A" w:rsidRPr="00A67155" w:rsidRDefault="004A245A" w:rsidP="00A67155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67155" w:rsidTr="003A2640">
        <w:trPr>
          <w:jc w:val="center"/>
        </w:trPr>
        <w:tc>
          <w:tcPr>
            <w:tcW w:w="8969" w:type="dxa"/>
            <w:gridSpan w:val="2"/>
          </w:tcPr>
          <w:p w:rsidR="0009329B" w:rsidRPr="00A67155" w:rsidRDefault="0009329B" w:rsidP="00A6715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6715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A245A" w:rsidRPr="00A6715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6715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6715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A245A" w:rsidRPr="00A6715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6715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A245A" w:rsidRPr="00A67155">
              <w:rPr>
                <w:rFonts w:ascii="Arial" w:hAnsi="Arial" w:cs="Arial"/>
                <w:b/>
                <w:sz w:val="22"/>
                <w:szCs w:val="22"/>
              </w:rPr>
              <w:t>653</w:t>
            </w:r>
          </w:p>
          <w:p w:rsidR="0009329B" w:rsidRPr="00A67155" w:rsidRDefault="0009329B" w:rsidP="00A6715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6715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67155" w:rsidTr="003A2640">
        <w:trPr>
          <w:jc w:val="center"/>
        </w:trPr>
        <w:tc>
          <w:tcPr>
            <w:tcW w:w="3780" w:type="dxa"/>
            <w:vAlign w:val="center"/>
          </w:tcPr>
          <w:p w:rsidR="0009329B" w:rsidRPr="00A67155" w:rsidRDefault="0009329B" w:rsidP="00AD1F0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6715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D1F0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6715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67155" w:rsidRDefault="0009329B" w:rsidP="00A6715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6715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67155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A67155" w:rsidRDefault="0009329B" w:rsidP="00A6715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6715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A245A" w:rsidRPr="00A67155">
              <w:rPr>
                <w:rFonts w:ascii="Arial" w:hAnsi="Arial" w:cs="Arial"/>
                <w:sz w:val="22"/>
                <w:szCs w:val="22"/>
              </w:rPr>
              <w:t>1</w:t>
            </w:r>
            <w:r w:rsidR="00A67155">
              <w:rPr>
                <w:rFonts w:ascii="Arial" w:hAnsi="Arial" w:cs="Arial"/>
                <w:sz w:val="22"/>
                <w:szCs w:val="22"/>
              </w:rPr>
              <w:t>.</w:t>
            </w:r>
            <w:r w:rsidR="004A245A" w:rsidRPr="00A67155">
              <w:rPr>
                <w:rFonts w:ascii="Arial" w:hAnsi="Arial" w:cs="Arial"/>
                <w:sz w:val="22"/>
                <w:szCs w:val="22"/>
              </w:rPr>
              <w:t>653</w:t>
            </w:r>
            <w:r w:rsidRPr="00A6715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67155" w:rsidRDefault="0009329B" w:rsidP="00A6715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67155" w:rsidTr="003A2640">
        <w:trPr>
          <w:jc w:val="center"/>
        </w:trPr>
        <w:tc>
          <w:tcPr>
            <w:tcW w:w="8969" w:type="dxa"/>
            <w:gridSpan w:val="3"/>
          </w:tcPr>
          <w:p w:rsidR="0009329B" w:rsidRPr="00A67155" w:rsidRDefault="0009329B" w:rsidP="00A6715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6715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A245A" w:rsidRPr="00A6715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A6715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6715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A245A" w:rsidRPr="00A6715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6715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A245A" w:rsidRPr="00A67155">
              <w:rPr>
                <w:rFonts w:ascii="Arial" w:hAnsi="Arial" w:cs="Arial"/>
                <w:b/>
                <w:sz w:val="22"/>
                <w:szCs w:val="22"/>
              </w:rPr>
              <w:t>653</w:t>
            </w:r>
          </w:p>
          <w:p w:rsidR="0009329B" w:rsidRPr="00A67155" w:rsidRDefault="0009329B" w:rsidP="00A6715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6715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67155" w:rsidTr="003A2640">
        <w:trPr>
          <w:jc w:val="center"/>
        </w:trPr>
        <w:tc>
          <w:tcPr>
            <w:tcW w:w="3090" w:type="dxa"/>
            <w:vAlign w:val="center"/>
          </w:tcPr>
          <w:p w:rsidR="0009329B" w:rsidRPr="00A67155" w:rsidRDefault="0009329B" w:rsidP="00A6715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6715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67155" w:rsidRDefault="0009329B" w:rsidP="00A6715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6715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67155" w:rsidRDefault="0009329B" w:rsidP="00A6715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6715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67155" w:rsidRDefault="003A2640" w:rsidP="00A6715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6715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A245A" w:rsidRPr="00A6715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6715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A245A" w:rsidRPr="00A67155">
              <w:rPr>
                <w:rFonts w:ascii="Arial" w:hAnsi="Arial" w:cs="Arial"/>
                <w:b/>
                <w:sz w:val="22"/>
                <w:szCs w:val="22"/>
              </w:rPr>
              <w:t>653</w:t>
            </w:r>
            <w:r w:rsidR="0009329B" w:rsidRPr="00A6715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67155" w:rsidRDefault="0009329B" w:rsidP="00A6715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6715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67155" w:rsidTr="003A2640">
        <w:trPr>
          <w:jc w:val="center"/>
        </w:trPr>
        <w:tc>
          <w:tcPr>
            <w:tcW w:w="8969" w:type="dxa"/>
            <w:gridSpan w:val="3"/>
          </w:tcPr>
          <w:p w:rsidR="0009329B" w:rsidRPr="00A67155" w:rsidRDefault="0009329B" w:rsidP="00A6715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6715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A245A" w:rsidRPr="00A67155">
              <w:rPr>
                <w:rFonts w:ascii="Arial" w:hAnsi="Arial" w:cs="Arial"/>
                <w:sz w:val="22"/>
                <w:szCs w:val="22"/>
              </w:rPr>
              <w:t>1</w:t>
            </w:r>
            <w:r w:rsidR="00A67155">
              <w:rPr>
                <w:rFonts w:ascii="Arial" w:hAnsi="Arial" w:cs="Arial"/>
                <w:sz w:val="22"/>
                <w:szCs w:val="22"/>
              </w:rPr>
              <w:t>.</w:t>
            </w:r>
            <w:r w:rsidR="004A245A" w:rsidRPr="00A67155">
              <w:rPr>
                <w:rFonts w:ascii="Arial" w:hAnsi="Arial" w:cs="Arial"/>
                <w:sz w:val="22"/>
                <w:szCs w:val="22"/>
              </w:rPr>
              <w:t>653</w:t>
            </w:r>
            <w:r w:rsidRPr="00A6715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67155" w:rsidRDefault="0009329B" w:rsidP="00A67155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A67155" w:rsidRDefault="00F914CB" w:rsidP="00A6715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6715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A67155">
        <w:rPr>
          <w:rFonts w:ascii="Arial" w:hAnsi="Arial" w:cs="Arial"/>
          <w:b/>
          <w:sz w:val="22"/>
          <w:szCs w:val="22"/>
        </w:rPr>
        <w:t>:</w:t>
      </w:r>
    </w:p>
    <w:p w:rsidR="004A245A" w:rsidRPr="00A67155" w:rsidRDefault="004A245A" w:rsidP="00A67155">
      <w:pPr>
        <w:spacing w:line="360" w:lineRule="auto"/>
        <w:rPr>
          <w:rFonts w:ascii="Arial" w:hAnsi="Arial" w:cs="Arial"/>
          <w:sz w:val="22"/>
          <w:szCs w:val="22"/>
        </w:rPr>
      </w:pPr>
      <w:r w:rsidRPr="00A67155">
        <w:rPr>
          <w:rFonts w:ascii="Arial" w:hAnsi="Arial"/>
          <w:sz w:val="22"/>
          <w:szCs w:val="22"/>
        </w:rPr>
        <w:t># La presente Norma contiene remisiones externas #</w:t>
      </w:r>
    </w:p>
    <w:sectPr w:rsidR="004A245A" w:rsidRPr="00A67155" w:rsidSect="00A6715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565F4"/>
    <w:rsid w:val="003A2640"/>
    <w:rsid w:val="004A245A"/>
    <w:rsid w:val="004A7641"/>
    <w:rsid w:val="005C0D00"/>
    <w:rsid w:val="005D403A"/>
    <w:rsid w:val="006506AC"/>
    <w:rsid w:val="006B1B39"/>
    <w:rsid w:val="00A476C0"/>
    <w:rsid w:val="00A67155"/>
    <w:rsid w:val="00AD1F00"/>
    <w:rsid w:val="00BF0F88"/>
    <w:rsid w:val="00C67C06"/>
    <w:rsid w:val="00DD2581"/>
    <w:rsid w:val="00F76F73"/>
    <w:rsid w:val="00F77FC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2015-09-25T16:22:00Z</dcterms:modified>
</cp:coreProperties>
</file>