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4E13EC" w:rsidRDefault="00C501A4" w:rsidP="004E13EC">
      <w:pPr>
        <w:spacing w:line="360" w:lineRule="auto"/>
        <w:rPr>
          <w:rFonts w:ascii="Arial" w:hAnsi="Arial" w:cs="Arial"/>
          <w:b/>
          <w:sz w:val="22"/>
          <w:szCs w:val="22"/>
        </w:rPr>
      </w:pPr>
      <w:r w:rsidRPr="004E13EC">
        <w:rPr>
          <w:rFonts w:ascii="Arial" w:hAnsi="Arial" w:cs="Arial"/>
          <w:b/>
          <w:sz w:val="22"/>
          <w:szCs w:val="22"/>
        </w:rPr>
        <w:t>2005-01-1186</w:t>
      </w:r>
    </w:p>
    <w:p w:rsidR="00C501A4" w:rsidRPr="004E13EC" w:rsidRDefault="00C501A4" w:rsidP="004E13EC">
      <w:pPr>
        <w:spacing w:line="360" w:lineRule="auto"/>
        <w:rPr>
          <w:rFonts w:ascii="Arial" w:hAnsi="Arial" w:cs="Arial"/>
          <w:b/>
          <w:sz w:val="22"/>
          <w:szCs w:val="22"/>
        </w:rPr>
      </w:pPr>
    </w:p>
    <w:p w:rsidR="0009329B" w:rsidRPr="004E13EC" w:rsidRDefault="00E13E98" w:rsidP="00E13E98">
      <w:pPr>
        <w:pStyle w:val="NormalWeb"/>
        <w:spacing w:before="0" w:beforeAutospacing="0" w:after="0" w:afterAutospacing="0" w:line="360" w:lineRule="auto"/>
        <w:jc w:val="center"/>
        <w:rPr>
          <w:rFonts w:ascii="Arial" w:hAnsi="Arial" w:cs="Arial"/>
          <w:b/>
          <w:sz w:val="22"/>
          <w:szCs w:val="22"/>
        </w:rPr>
      </w:pPr>
      <w:r>
        <w:rPr>
          <w:rFonts w:ascii="Arial" w:hAnsi="Arial" w:cs="Arial"/>
          <w:b/>
          <w:sz w:val="22"/>
          <w:szCs w:val="22"/>
        </w:rPr>
        <w:t>LEY</w:t>
      </w:r>
      <w:r w:rsidR="003F1762" w:rsidRPr="004E13EC">
        <w:rPr>
          <w:rFonts w:ascii="Arial" w:hAnsi="Arial" w:cs="Arial"/>
          <w:b/>
          <w:sz w:val="22"/>
          <w:szCs w:val="22"/>
        </w:rPr>
        <w:t xml:space="preserve"> </w:t>
      </w:r>
      <w:r w:rsidR="00C501A4" w:rsidRPr="004E13EC">
        <w:rPr>
          <w:rFonts w:ascii="Arial" w:hAnsi="Arial" w:cs="Arial"/>
          <w:b/>
          <w:sz w:val="22"/>
          <w:szCs w:val="22"/>
        </w:rPr>
        <w:t xml:space="preserve">H </w:t>
      </w:r>
      <w:r w:rsidR="0009329B" w:rsidRPr="004E13EC">
        <w:rPr>
          <w:rFonts w:ascii="Arial" w:hAnsi="Arial" w:cs="Arial"/>
          <w:b/>
          <w:sz w:val="22"/>
          <w:szCs w:val="22"/>
        </w:rPr>
        <w:t xml:space="preserve">- N° </w:t>
      </w:r>
      <w:r w:rsidR="00C501A4" w:rsidRPr="004E13EC">
        <w:rPr>
          <w:rFonts w:ascii="Arial" w:hAnsi="Arial" w:cs="Arial"/>
          <w:b/>
          <w:sz w:val="22"/>
          <w:szCs w:val="22"/>
        </w:rPr>
        <w:t>1</w:t>
      </w:r>
      <w:r w:rsidR="004E13EC">
        <w:rPr>
          <w:rFonts w:ascii="Arial" w:hAnsi="Arial" w:cs="Arial"/>
          <w:b/>
          <w:sz w:val="22"/>
          <w:szCs w:val="22"/>
        </w:rPr>
        <w:t>.</w:t>
      </w:r>
      <w:r w:rsidR="00C501A4" w:rsidRPr="004E13EC">
        <w:rPr>
          <w:rFonts w:ascii="Arial" w:hAnsi="Arial" w:cs="Arial"/>
          <w:b/>
          <w:sz w:val="22"/>
          <w:szCs w:val="22"/>
        </w:rPr>
        <w:t>636</w:t>
      </w:r>
    </w:p>
    <w:p w:rsidR="00C501A4" w:rsidRPr="004E13EC" w:rsidRDefault="00C501A4" w:rsidP="004E13EC">
      <w:pPr>
        <w:spacing w:line="360" w:lineRule="auto"/>
        <w:jc w:val="both"/>
        <w:rPr>
          <w:rFonts w:ascii="Arial" w:hAnsi="Arial" w:cs="Arial"/>
          <w:sz w:val="22"/>
          <w:szCs w:val="22"/>
        </w:rPr>
      </w:pPr>
    </w:p>
    <w:p w:rsidR="00C501A4" w:rsidRPr="004E13EC" w:rsidRDefault="00C501A4" w:rsidP="004E13EC">
      <w:pPr>
        <w:spacing w:line="360" w:lineRule="auto"/>
        <w:jc w:val="both"/>
        <w:rPr>
          <w:rFonts w:ascii="Arial" w:hAnsi="Arial" w:cs="Arial"/>
          <w:sz w:val="22"/>
          <w:szCs w:val="22"/>
        </w:rPr>
      </w:pPr>
      <w:r w:rsidRPr="004E13EC">
        <w:rPr>
          <w:rFonts w:ascii="Arial" w:hAnsi="Arial" w:cs="Arial"/>
          <w:sz w:val="22"/>
          <w:szCs w:val="22"/>
        </w:rPr>
        <w:t>Artículo 1º.-</w:t>
      </w:r>
      <w:r w:rsidRPr="004E13EC">
        <w:rPr>
          <w:rFonts w:ascii="Arial" w:hAnsi="Arial" w:cs="Arial"/>
          <w:b/>
          <w:sz w:val="22"/>
          <w:szCs w:val="22"/>
        </w:rPr>
        <w:t xml:space="preserve"> </w:t>
      </w:r>
      <w:r w:rsidRPr="004E13EC">
        <w:rPr>
          <w:rFonts w:ascii="Arial" w:hAnsi="Arial" w:cs="Arial"/>
          <w:sz w:val="22"/>
          <w:szCs w:val="22"/>
        </w:rPr>
        <w:t>Créase el Programa Permanente de Salud para ex-combatientes de Malvinas que hayan participado en efectivas acciones bélicas, llevadas a cabo en las jurisdicciones del Teatro de Operaciones Malvinas (TOM) y del Teatro de Operaciones del Atlántico Sur (TOAS), desde el 2 de abril hasta el 14 de Junio de 1982, y su grupo familiar, cuyo objetivo primordial es la prevención y atención de la problemática física y mental de los veteranos y sus familias.</w:t>
      </w:r>
    </w:p>
    <w:p w:rsidR="00C501A4" w:rsidRPr="004E13EC" w:rsidRDefault="00C501A4" w:rsidP="004E13EC">
      <w:pPr>
        <w:spacing w:line="360" w:lineRule="auto"/>
        <w:jc w:val="both"/>
        <w:rPr>
          <w:rFonts w:ascii="Arial" w:hAnsi="Arial" w:cs="Arial"/>
          <w:b/>
          <w:sz w:val="22"/>
          <w:szCs w:val="22"/>
        </w:rPr>
      </w:pPr>
    </w:p>
    <w:p w:rsidR="00C501A4" w:rsidRPr="004E13EC" w:rsidRDefault="00C501A4" w:rsidP="004E13EC">
      <w:pPr>
        <w:spacing w:line="360" w:lineRule="auto"/>
        <w:jc w:val="both"/>
        <w:rPr>
          <w:rFonts w:ascii="Arial" w:hAnsi="Arial" w:cs="Arial"/>
          <w:sz w:val="22"/>
          <w:szCs w:val="22"/>
        </w:rPr>
      </w:pPr>
      <w:r w:rsidRPr="004E13EC">
        <w:rPr>
          <w:rFonts w:ascii="Arial" w:hAnsi="Arial" w:cs="Arial"/>
          <w:sz w:val="22"/>
          <w:szCs w:val="22"/>
        </w:rPr>
        <w:t xml:space="preserve">Artículo 2º.- Serán beneficiarios titulares de este programa los ex Combatientes de la Guerra de Malvinas, </w:t>
      </w:r>
      <w:proofErr w:type="spellStart"/>
      <w:r w:rsidRPr="004E13EC">
        <w:rPr>
          <w:rFonts w:ascii="Arial" w:hAnsi="Arial" w:cs="Arial"/>
          <w:sz w:val="22"/>
          <w:szCs w:val="22"/>
        </w:rPr>
        <w:t>Georgias</w:t>
      </w:r>
      <w:proofErr w:type="spellEnd"/>
      <w:r w:rsidRPr="004E13EC">
        <w:rPr>
          <w:rFonts w:ascii="Arial" w:hAnsi="Arial" w:cs="Arial"/>
          <w:sz w:val="22"/>
          <w:szCs w:val="22"/>
        </w:rPr>
        <w:t xml:space="preserve">, </w:t>
      </w:r>
      <w:proofErr w:type="spellStart"/>
      <w:r w:rsidRPr="004E13EC">
        <w:rPr>
          <w:rFonts w:ascii="Arial" w:hAnsi="Arial" w:cs="Arial"/>
          <w:sz w:val="22"/>
          <w:szCs w:val="22"/>
        </w:rPr>
        <w:t>Sandwich</w:t>
      </w:r>
      <w:proofErr w:type="spellEnd"/>
      <w:r w:rsidRPr="004E13EC">
        <w:rPr>
          <w:rFonts w:ascii="Arial" w:hAnsi="Arial" w:cs="Arial"/>
          <w:sz w:val="22"/>
          <w:szCs w:val="22"/>
        </w:rPr>
        <w:t xml:space="preserve"> e Islas del Atlántico Sur que acrediten alguna de las siguientes condiciones: </w:t>
      </w:r>
    </w:p>
    <w:p w:rsidR="00C501A4" w:rsidRPr="004E13EC" w:rsidRDefault="00C501A4" w:rsidP="004E13EC">
      <w:pPr>
        <w:numPr>
          <w:ilvl w:val="0"/>
          <w:numId w:val="1"/>
        </w:numPr>
        <w:tabs>
          <w:tab w:val="num" w:pos="720"/>
        </w:tabs>
        <w:spacing w:line="360" w:lineRule="auto"/>
        <w:ind w:left="567" w:hanging="567"/>
        <w:jc w:val="both"/>
        <w:rPr>
          <w:rFonts w:ascii="Arial" w:hAnsi="Arial" w:cs="Arial"/>
          <w:sz w:val="22"/>
          <w:szCs w:val="22"/>
        </w:rPr>
      </w:pPr>
      <w:r w:rsidRPr="004E13EC">
        <w:rPr>
          <w:rFonts w:ascii="Arial" w:hAnsi="Arial" w:cs="Arial"/>
          <w:sz w:val="22"/>
          <w:szCs w:val="22"/>
        </w:rPr>
        <w:t xml:space="preserve">Haber integrado las Fuerzas Armadas y de Seguridad en calidad de soldados conscriptos. </w:t>
      </w:r>
    </w:p>
    <w:p w:rsidR="00C501A4" w:rsidRPr="004E13EC" w:rsidRDefault="00C501A4" w:rsidP="004E13EC">
      <w:pPr>
        <w:numPr>
          <w:ilvl w:val="0"/>
          <w:numId w:val="1"/>
        </w:numPr>
        <w:tabs>
          <w:tab w:val="num" w:pos="720"/>
        </w:tabs>
        <w:spacing w:line="360" w:lineRule="auto"/>
        <w:ind w:left="567" w:hanging="567"/>
        <w:jc w:val="both"/>
        <w:rPr>
          <w:rFonts w:ascii="Arial" w:hAnsi="Arial" w:cs="Arial"/>
          <w:sz w:val="22"/>
          <w:szCs w:val="22"/>
        </w:rPr>
      </w:pPr>
      <w:r w:rsidRPr="004E13EC">
        <w:rPr>
          <w:rFonts w:ascii="Arial" w:hAnsi="Arial" w:cs="Arial"/>
          <w:sz w:val="22"/>
          <w:szCs w:val="22"/>
        </w:rPr>
        <w:t xml:space="preserve">Ser personal de Oficiales y Suboficiales de las Fuerzas Armadas y de Seguridad y encontrarse en situación de retiro o baja, sin cobro de haberes. </w:t>
      </w:r>
    </w:p>
    <w:p w:rsidR="00C501A4" w:rsidRPr="004E13EC" w:rsidRDefault="00C501A4" w:rsidP="004E13EC">
      <w:pPr>
        <w:numPr>
          <w:ilvl w:val="0"/>
          <w:numId w:val="1"/>
        </w:numPr>
        <w:tabs>
          <w:tab w:val="num" w:pos="720"/>
        </w:tabs>
        <w:spacing w:line="360" w:lineRule="auto"/>
        <w:ind w:left="567" w:hanging="567"/>
        <w:jc w:val="both"/>
        <w:rPr>
          <w:rFonts w:ascii="Arial" w:hAnsi="Arial" w:cs="Arial"/>
          <w:sz w:val="22"/>
          <w:szCs w:val="22"/>
        </w:rPr>
      </w:pPr>
      <w:r w:rsidRPr="004E13EC">
        <w:rPr>
          <w:rFonts w:ascii="Arial" w:hAnsi="Arial" w:cs="Arial"/>
          <w:sz w:val="22"/>
          <w:szCs w:val="22"/>
        </w:rPr>
        <w:t xml:space="preserve">Civiles que, cumpliendo funciones de servicio o de apoyo a las Fuerzas Armadas y de Seguridad, se encontraban en los lugares en los que se desarrollaron las acciones bélicas entre las fechas citadas en el artículo 1º. </w:t>
      </w:r>
    </w:p>
    <w:p w:rsidR="00C501A4" w:rsidRPr="004E13EC" w:rsidRDefault="00C501A4" w:rsidP="004E13EC">
      <w:pPr>
        <w:spacing w:line="360" w:lineRule="auto"/>
        <w:jc w:val="both"/>
        <w:rPr>
          <w:rFonts w:ascii="Arial" w:hAnsi="Arial" w:cs="Arial"/>
          <w:sz w:val="22"/>
          <w:szCs w:val="22"/>
        </w:rPr>
      </w:pPr>
      <w:r w:rsidRPr="004E13EC">
        <w:rPr>
          <w:rFonts w:ascii="Arial" w:hAnsi="Arial" w:cs="Arial"/>
          <w:sz w:val="22"/>
          <w:szCs w:val="22"/>
        </w:rPr>
        <w:t xml:space="preserve">Serán beneficiarios derivados del titular, aunque éste hubiere fallecido en la guerra o posteriormente, los padres, cónyuges o convivientes, e hijos de los ex combatientes. </w:t>
      </w:r>
      <w:r w:rsidRPr="004E13EC">
        <w:rPr>
          <w:rFonts w:ascii="Arial" w:hAnsi="Arial" w:cs="Arial"/>
          <w:sz w:val="22"/>
          <w:szCs w:val="22"/>
        </w:rPr>
        <w:br/>
        <w:t>Para acreditar la condición de beneficiario titular, deberán presentar una constancia actualizada expedida por la Fuerza correspondiente y certificado por el Ministerio de Defensa de la Nación, determinando la condición de Ex Combatiente de la Guerra, de acuerdo con los términos y alcances de lo dispuesto en el artículo 1º de la presente Ley. Los beneficiarios derivados deberán además acreditar el vínculo con la documentación correspondiente.</w:t>
      </w:r>
    </w:p>
    <w:p w:rsidR="00C501A4" w:rsidRPr="004E13EC" w:rsidRDefault="00C501A4" w:rsidP="004E13EC">
      <w:pPr>
        <w:spacing w:line="360" w:lineRule="auto"/>
        <w:jc w:val="both"/>
        <w:rPr>
          <w:rFonts w:ascii="Arial" w:hAnsi="Arial" w:cs="Arial"/>
          <w:sz w:val="22"/>
          <w:szCs w:val="22"/>
        </w:rPr>
      </w:pPr>
    </w:p>
    <w:p w:rsidR="00C501A4" w:rsidRPr="004E13EC" w:rsidRDefault="00C501A4" w:rsidP="004E13EC">
      <w:pPr>
        <w:spacing w:line="360" w:lineRule="auto"/>
        <w:jc w:val="both"/>
        <w:rPr>
          <w:rFonts w:ascii="Arial" w:hAnsi="Arial" w:cs="Arial"/>
          <w:sz w:val="22"/>
          <w:szCs w:val="22"/>
        </w:rPr>
      </w:pPr>
      <w:r w:rsidRPr="004E13EC">
        <w:rPr>
          <w:rFonts w:ascii="Arial" w:hAnsi="Arial" w:cs="Arial"/>
          <w:sz w:val="22"/>
          <w:szCs w:val="22"/>
        </w:rPr>
        <w:t>Artículo 3º.- El Poder Ejecutivo habilitará un Registro en el cual deberán inscribirse los veteranos que deseen formar parte del presente Programa, y los padres, cónyuges e hijos del veterano fallecido, a los efectos de acreditar, por única vez, su condición de tales, luego de lo cual se les entregará un carnet oficial en el cual constarán los datos del titular y los del grupo familiar respectivamente, documento que resultará oficialmente válido para poder acceder a los beneficios del Programa.</w:t>
      </w:r>
    </w:p>
    <w:p w:rsidR="00C501A4" w:rsidRPr="004E13EC" w:rsidRDefault="00C501A4" w:rsidP="004E13EC">
      <w:pPr>
        <w:spacing w:line="360" w:lineRule="auto"/>
        <w:jc w:val="both"/>
        <w:rPr>
          <w:rFonts w:ascii="Arial" w:hAnsi="Arial" w:cs="Arial"/>
          <w:sz w:val="22"/>
          <w:szCs w:val="22"/>
        </w:rPr>
      </w:pPr>
    </w:p>
    <w:p w:rsidR="00C501A4" w:rsidRPr="004E13EC" w:rsidRDefault="00C501A4" w:rsidP="004E13EC">
      <w:pPr>
        <w:spacing w:line="360" w:lineRule="auto"/>
        <w:jc w:val="both"/>
        <w:rPr>
          <w:rFonts w:ascii="Arial" w:hAnsi="Arial" w:cs="Arial"/>
          <w:sz w:val="22"/>
          <w:szCs w:val="22"/>
        </w:rPr>
      </w:pPr>
      <w:r w:rsidRPr="004E13EC">
        <w:rPr>
          <w:rFonts w:ascii="Arial" w:hAnsi="Arial" w:cs="Arial"/>
          <w:sz w:val="22"/>
          <w:szCs w:val="22"/>
        </w:rPr>
        <w:t>Artículo 4º.-</w:t>
      </w:r>
      <w:r w:rsidRPr="004E13EC">
        <w:rPr>
          <w:rFonts w:ascii="Arial" w:hAnsi="Arial" w:cs="Arial"/>
          <w:b/>
          <w:sz w:val="22"/>
          <w:szCs w:val="22"/>
        </w:rPr>
        <w:t xml:space="preserve"> </w:t>
      </w:r>
      <w:r w:rsidRPr="004E13EC">
        <w:rPr>
          <w:rFonts w:ascii="Arial" w:hAnsi="Arial" w:cs="Arial"/>
          <w:sz w:val="22"/>
          <w:szCs w:val="22"/>
        </w:rPr>
        <w:t xml:space="preserve">El Programa Permanente de Salud para ex-combatientes de Malvinas y su grupo familiar funcionará en la red de Salud del Gobierno de la Ciudad de Buenos Aires, pudiendo acudir tanto los veteranos como su grupo familiar, acreditando su condición con el carnet enunciado en el </w:t>
      </w:r>
      <w:r w:rsidRPr="004E13EC">
        <w:rPr>
          <w:rFonts w:ascii="Arial" w:hAnsi="Arial" w:cs="Arial"/>
          <w:sz w:val="22"/>
          <w:szCs w:val="22"/>
        </w:rPr>
        <w:lastRenderedPageBreak/>
        <w:t xml:space="preserve">artículo precedente y su documento de identidad, pudiendo luego ser derivados al área que corresponda, tanto dentro del propio hospital como en otros centros de Salud (Hospitales o Centros de Salud Mental). Se constituyen específicamente como centros de referencia los Hospitales </w:t>
      </w:r>
      <w:proofErr w:type="spellStart"/>
      <w:r w:rsidRPr="004E13EC">
        <w:rPr>
          <w:rFonts w:ascii="Arial" w:hAnsi="Arial" w:cs="Arial"/>
          <w:sz w:val="22"/>
          <w:szCs w:val="22"/>
        </w:rPr>
        <w:t>Jose</w:t>
      </w:r>
      <w:proofErr w:type="spellEnd"/>
      <w:r w:rsidRPr="004E13EC">
        <w:rPr>
          <w:rFonts w:ascii="Arial" w:hAnsi="Arial" w:cs="Arial"/>
          <w:sz w:val="22"/>
          <w:szCs w:val="22"/>
        </w:rPr>
        <w:t xml:space="preserve"> M. </w:t>
      </w:r>
      <w:proofErr w:type="spellStart"/>
      <w:proofErr w:type="gramStart"/>
      <w:r w:rsidRPr="004E13EC">
        <w:rPr>
          <w:rFonts w:ascii="Arial" w:hAnsi="Arial" w:cs="Arial"/>
          <w:sz w:val="22"/>
          <w:szCs w:val="22"/>
        </w:rPr>
        <w:t>Penna</w:t>
      </w:r>
      <w:proofErr w:type="spellEnd"/>
      <w:r w:rsidRPr="004E13EC">
        <w:rPr>
          <w:rFonts w:ascii="Arial" w:hAnsi="Arial" w:cs="Arial"/>
          <w:sz w:val="22"/>
          <w:szCs w:val="22"/>
        </w:rPr>
        <w:t xml:space="preserve"> ,</w:t>
      </w:r>
      <w:proofErr w:type="gramEnd"/>
      <w:r w:rsidRPr="004E13EC">
        <w:rPr>
          <w:rFonts w:ascii="Arial" w:hAnsi="Arial" w:cs="Arial"/>
          <w:sz w:val="22"/>
          <w:szCs w:val="22"/>
        </w:rPr>
        <w:t xml:space="preserve"> Ignacio </w:t>
      </w:r>
      <w:proofErr w:type="spellStart"/>
      <w:r w:rsidRPr="004E13EC">
        <w:rPr>
          <w:rFonts w:ascii="Arial" w:hAnsi="Arial" w:cs="Arial"/>
          <w:sz w:val="22"/>
          <w:szCs w:val="22"/>
        </w:rPr>
        <w:t>Pirovano</w:t>
      </w:r>
      <w:proofErr w:type="spellEnd"/>
      <w:r w:rsidRPr="004E13EC">
        <w:rPr>
          <w:rFonts w:ascii="Arial" w:hAnsi="Arial" w:cs="Arial"/>
          <w:sz w:val="22"/>
          <w:szCs w:val="22"/>
        </w:rPr>
        <w:t xml:space="preserve"> y Carlos </w:t>
      </w:r>
      <w:proofErr w:type="spellStart"/>
      <w:r w:rsidRPr="004E13EC">
        <w:rPr>
          <w:rFonts w:ascii="Arial" w:hAnsi="Arial" w:cs="Arial"/>
          <w:sz w:val="22"/>
          <w:szCs w:val="22"/>
        </w:rPr>
        <w:t>Durand</w:t>
      </w:r>
      <w:proofErr w:type="spellEnd"/>
      <w:r w:rsidRPr="004E13EC">
        <w:rPr>
          <w:rFonts w:ascii="Arial" w:hAnsi="Arial" w:cs="Arial"/>
          <w:sz w:val="22"/>
          <w:szCs w:val="22"/>
        </w:rPr>
        <w:t xml:space="preserve"> , en los cuales se habilitará un área especializada para dicha atención.</w:t>
      </w:r>
    </w:p>
    <w:p w:rsidR="00C501A4" w:rsidRPr="004E13EC" w:rsidRDefault="00C501A4" w:rsidP="004E13EC">
      <w:pPr>
        <w:spacing w:line="360" w:lineRule="auto"/>
        <w:jc w:val="both"/>
        <w:rPr>
          <w:rFonts w:ascii="Arial" w:hAnsi="Arial" w:cs="Arial"/>
          <w:sz w:val="22"/>
          <w:szCs w:val="22"/>
        </w:rPr>
      </w:pPr>
    </w:p>
    <w:p w:rsidR="00C501A4" w:rsidRPr="004E13EC" w:rsidRDefault="00C501A4" w:rsidP="004E13EC">
      <w:pPr>
        <w:spacing w:line="360" w:lineRule="auto"/>
        <w:jc w:val="both"/>
        <w:rPr>
          <w:rFonts w:ascii="Arial" w:hAnsi="Arial" w:cs="Arial"/>
          <w:sz w:val="22"/>
          <w:szCs w:val="22"/>
        </w:rPr>
      </w:pPr>
      <w:r w:rsidRPr="004E13EC">
        <w:rPr>
          <w:rFonts w:ascii="Arial" w:hAnsi="Arial" w:cs="Arial"/>
          <w:sz w:val="22"/>
          <w:szCs w:val="22"/>
        </w:rPr>
        <w:t>Artículo 5º.-</w:t>
      </w:r>
      <w:r w:rsidRPr="004E13EC">
        <w:rPr>
          <w:rFonts w:ascii="Arial" w:hAnsi="Arial" w:cs="Arial"/>
          <w:b/>
          <w:sz w:val="22"/>
          <w:szCs w:val="22"/>
        </w:rPr>
        <w:t xml:space="preserve"> </w:t>
      </w:r>
      <w:r w:rsidRPr="004E13EC">
        <w:rPr>
          <w:rFonts w:ascii="Arial" w:hAnsi="Arial" w:cs="Arial"/>
          <w:sz w:val="22"/>
          <w:szCs w:val="22"/>
        </w:rPr>
        <w:t>Las áreas ejecutoras del programa deberán contar con personal capacitado para su implementación. Los ex combatientes que se encuentren prestando servicios como empleados del Gobierno de la Ciudad de Buenos Aires podrán pedir su traslado a dichas áreas.</w:t>
      </w:r>
    </w:p>
    <w:p w:rsidR="00C501A4" w:rsidRPr="004E13EC" w:rsidRDefault="00C501A4" w:rsidP="004E13EC">
      <w:pPr>
        <w:spacing w:line="360" w:lineRule="auto"/>
        <w:jc w:val="both"/>
        <w:rPr>
          <w:rFonts w:ascii="Arial" w:hAnsi="Arial" w:cs="Arial"/>
          <w:sz w:val="22"/>
          <w:szCs w:val="22"/>
        </w:rPr>
      </w:pPr>
      <w:r w:rsidRPr="004E13EC">
        <w:rPr>
          <w:rFonts w:ascii="Arial" w:hAnsi="Arial" w:cs="Arial"/>
          <w:sz w:val="22"/>
          <w:szCs w:val="22"/>
        </w:rPr>
        <w:t xml:space="preserve">En cada centro ejecutor del presente programa se confeccionarán las historias clínicas de los pacientes, tanto beneficiarios titulares como grupo familiar. Deberán asimismo registrarse las prestaciones efectivamente realizadas, tanto a los efectos de control de la ejecución del presente programa, como a los fines estadísticos. </w:t>
      </w:r>
    </w:p>
    <w:p w:rsidR="004E13EC" w:rsidRDefault="004E13EC" w:rsidP="004E13EC">
      <w:pPr>
        <w:spacing w:line="360" w:lineRule="auto"/>
        <w:jc w:val="both"/>
        <w:rPr>
          <w:rFonts w:ascii="Arial" w:hAnsi="Arial" w:cs="Arial"/>
          <w:sz w:val="22"/>
          <w:szCs w:val="22"/>
        </w:rPr>
      </w:pPr>
    </w:p>
    <w:p w:rsidR="00C501A4" w:rsidRPr="004E13EC" w:rsidRDefault="00C501A4" w:rsidP="004E13EC">
      <w:pPr>
        <w:spacing w:line="360" w:lineRule="auto"/>
        <w:jc w:val="both"/>
        <w:rPr>
          <w:rFonts w:ascii="Arial" w:hAnsi="Arial" w:cs="Arial"/>
          <w:sz w:val="22"/>
          <w:szCs w:val="22"/>
        </w:rPr>
      </w:pPr>
      <w:r w:rsidRPr="004E13EC">
        <w:rPr>
          <w:rFonts w:ascii="Arial" w:hAnsi="Arial" w:cs="Arial"/>
          <w:sz w:val="22"/>
          <w:szCs w:val="22"/>
        </w:rPr>
        <w:t>Artículo 6º.-</w:t>
      </w:r>
      <w:r w:rsidRPr="004E13EC">
        <w:rPr>
          <w:rFonts w:ascii="Arial" w:hAnsi="Arial" w:cs="Arial"/>
          <w:b/>
          <w:sz w:val="22"/>
          <w:szCs w:val="22"/>
        </w:rPr>
        <w:t xml:space="preserve"> </w:t>
      </w:r>
      <w:r w:rsidRPr="004E13EC">
        <w:rPr>
          <w:rFonts w:ascii="Arial" w:hAnsi="Arial" w:cs="Arial"/>
          <w:sz w:val="22"/>
          <w:szCs w:val="22"/>
        </w:rPr>
        <w:t>La Secretaría de Salud deberá implementar un Programa de Salud Mental que contemple la problemática integral de los veteranos, entre ellos el síndrome post traumático de guerra y sus consecuencias (adicciones, suicidios, etc.).</w:t>
      </w:r>
    </w:p>
    <w:p w:rsidR="00C501A4" w:rsidRPr="004E13EC" w:rsidRDefault="00C501A4" w:rsidP="004E13EC">
      <w:pPr>
        <w:spacing w:line="360" w:lineRule="auto"/>
        <w:jc w:val="both"/>
        <w:rPr>
          <w:rFonts w:ascii="Arial" w:hAnsi="Arial" w:cs="Arial"/>
          <w:sz w:val="22"/>
          <w:szCs w:val="22"/>
        </w:rPr>
      </w:pPr>
    </w:p>
    <w:p w:rsidR="00C501A4" w:rsidRPr="004E13EC" w:rsidRDefault="00C501A4" w:rsidP="004E13EC">
      <w:pPr>
        <w:spacing w:line="360" w:lineRule="auto"/>
        <w:jc w:val="both"/>
        <w:rPr>
          <w:rFonts w:ascii="Arial" w:hAnsi="Arial" w:cs="Arial"/>
          <w:sz w:val="22"/>
          <w:szCs w:val="22"/>
        </w:rPr>
      </w:pPr>
      <w:r w:rsidRPr="004E13EC">
        <w:rPr>
          <w:rFonts w:ascii="Arial" w:hAnsi="Arial" w:cs="Arial"/>
          <w:sz w:val="22"/>
          <w:szCs w:val="22"/>
        </w:rPr>
        <w:t>Artículo 7º.-</w:t>
      </w:r>
      <w:r w:rsidRPr="004E13EC">
        <w:rPr>
          <w:rFonts w:ascii="Arial" w:hAnsi="Arial" w:cs="Arial"/>
          <w:b/>
          <w:sz w:val="22"/>
          <w:szCs w:val="22"/>
        </w:rPr>
        <w:t xml:space="preserve"> </w:t>
      </w:r>
      <w:r w:rsidRPr="004E13EC">
        <w:rPr>
          <w:rFonts w:ascii="Arial" w:hAnsi="Arial" w:cs="Arial"/>
          <w:sz w:val="22"/>
          <w:szCs w:val="22"/>
        </w:rPr>
        <w:t>Aquellos beneficiarios del presente plan que cuenten con obras sociales podrán solicitar su atención dentro del presente programa. En estos casos se facturarán las prestaciones a las respectivas Obras Sociales, tales como el PAMI, etc. Estas circunstancias no condicionarán en forma alguna la debida atención al veterano y/o a su grupo familiar.</w:t>
      </w:r>
    </w:p>
    <w:p w:rsidR="00C501A4" w:rsidRPr="004E13EC" w:rsidRDefault="00C501A4" w:rsidP="004E13EC">
      <w:pPr>
        <w:spacing w:line="360" w:lineRule="auto"/>
        <w:jc w:val="both"/>
        <w:rPr>
          <w:rFonts w:ascii="Arial" w:hAnsi="Arial" w:cs="Arial"/>
          <w:sz w:val="22"/>
          <w:szCs w:val="22"/>
        </w:rPr>
      </w:pPr>
    </w:p>
    <w:p w:rsidR="00C501A4" w:rsidRPr="004E13EC" w:rsidRDefault="00C501A4" w:rsidP="004E13EC">
      <w:pPr>
        <w:spacing w:line="360" w:lineRule="auto"/>
        <w:jc w:val="both"/>
        <w:rPr>
          <w:rFonts w:ascii="Arial" w:hAnsi="Arial" w:cs="Arial"/>
          <w:sz w:val="22"/>
          <w:szCs w:val="22"/>
        </w:rPr>
      </w:pPr>
      <w:r w:rsidRPr="004E13EC">
        <w:rPr>
          <w:rFonts w:ascii="Arial" w:hAnsi="Arial" w:cs="Arial"/>
          <w:sz w:val="22"/>
          <w:szCs w:val="22"/>
        </w:rPr>
        <w:t>Artículo 8º.-</w:t>
      </w:r>
      <w:r w:rsidRPr="004E13EC">
        <w:rPr>
          <w:rFonts w:ascii="Arial" w:hAnsi="Arial" w:cs="Arial"/>
          <w:b/>
          <w:sz w:val="22"/>
          <w:szCs w:val="22"/>
        </w:rPr>
        <w:t xml:space="preserve"> </w:t>
      </w:r>
      <w:r w:rsidRPr="004E13EC">
        <w:rPr>
          <w:rFonts w:ascii="Arial" w:hAnsi="Arial" w:cs="Arial"/>
          <w:sz w:val="22"/>
          <w:szCs w:val="22"/>
        </w:rPr>
        <w:t>El Poder Ejecutivo deberá realizar los convenios correspondientes a los fines de asegurar el pago de las prestaciones efectivas.</w:t>
      </w:r>
    </w:p>
    <w:p w:rsidR="00C501A4" w:rsidRPr="004E13EC" w:rsidRDefault="00C501A4" w:rsidP="004E13EC">
      <w:pPr>
        <w:spacing w:line="360" w:lineRule="auto"/>
        <w:jc w:val="both"/>
        <w:rPr>
          <w:rFonts w:ascii="Arial" w:hAnsi="Arial" w:cs="Arial"/>
          <w:sz w:val="22"/>
          <w:szCs w:val="22"/>
        </w:rPr>
      </w:pPr>
    </w:p>
    <w:p w:rsidR="00C501A4" w:rsidRPr="004E13EC" w:rsidRDefault="00C501A4" w:rsidP="004E13EC">
      <w:pPr>
        <w:spacing w:line="360" w:lineRule="auto"/>
        <w:jc w:val="both"/>
        <w:rPr>
          <w:rFonts w:ascii="Arial" w:hAnsi="Arial" w:cs="Arial"/>
          <w:sz w:val="22"/>
          <w:szCs w:val="22"/>
        </w:rPr>
      </w:pPr>
      <w:r w:rsidRPr="004E13EC">
        <w:rPr>
          <w:rFonts w:ascii="Arial" w:hAnsi="Arial" w:cs="Arial"/>
          <w:sz w:val="22"/>
          <w:szCs w:val="22"/>
        </w:rPr>
        <w:t>Artículo 9°.- A los efectos de su implementación, el Poder Ejecutivo reglamentará la presente Ley dentro de los sesenta (60) días de su promulgación.</w:t>
      </w:r>
    </w:p>
    <w:p w:rsidR="0009329B" w:rsidRPr="004E13EC" w:rsidRDefault="0009329B" w:rsidP="004E13EC">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4E13EC" w:rsidTr="004E13EC">
        <w:trPr>
          <w:jc w:val="center"/>
        </w:trPr>
        <w:tc>
          <w:tcPr>
            <w:tcW w:w="9000" w:type="dxa"/>
            <w:gridSpan w:val="2"/>
            <w:vAlign w:val="center"/>
          </w:tcPr>
          <w:p w:rsidR="0009329B" w:rsidRPr="004E13EC" w:rsidRDefault="0009329B" w:rsidP="004E13EC">
            <w:pPr>
              <w:pStyle w:val="Textosinformato"/>
              <w:spacing w:before="240" w:line="360" w:lineRule="auto"/>
              <w:jc w:val="center"/>
              <w:rPr>
                <w:rFonts w:ascii="Arial" w:hAnsi="Arial" w:cs="Arial"/>
                <w:sz w:val="22"/>
                <w:u w:val="single"/>
              </w:rPr>
            </w:pPr>
            <w:r w:rsidRPr="004E13EC">
              <w:rPr>
                <w:rFonts w:ascii="Arial" w:hAnsi="Arial" w:cs="Arial"/>
                <w:b/>
                <w:sz w:val="22"/>
                <w:szCs w:val="22"/>
              </w:rPr>
              <w:t>LEY</w:t>
            </w:r>
            <w:r w:rsidR="00111779" w:rsidRPr="004E13EC">
              <w:rPr>
                <w:rFonts w:ascii="Arial" w:hAnsi="Arial" w:cs="Arial"/>
                <w:b/>
                <w:sz w:val="22"/>
                <w:szCs w:val="22"/>
              </w:rPr>
              <w:t xml:space="preserve"> H</w:t>
            </w:r>
            <w:r w:rsidRPr="004E13EC">
              <w:rPr>
                <w:rFonts w:ascii="Arial" w:hAnsi="Arial" w:cs="Arial"/>
                <w:b/>
                <w:sz w:val="22"/>
                <w:szCs w:val="22"/>
              </w:rPr>
              <w:t xml:space="preserve"> - N° </w:t>
            </w:r>
            <w:r w:rsidR="00111779" w:rsidRPr="004E13EC">
              <w:rPr>
                <w:rFonts w:ascii="Arial" w:hAnsi="Arial" w:cs="Arial"/>
                <w:b/>
                <w:sz w:val="22"/>
                <w:szCs w:val="22"/>
              </w:rPr>
              <w:t>1</w:t>
            </w:r>
            <w:r w:rsidR="004E13EC">
              <w:rPr>
                <w:rFonts w:ascii="Arial" w:hAnsi="Arial" w:cs="Arial"/>
                <w:b/>
                <w:sz w:val="22"/>
                <w:szCs w:val="22"/>
              </w:rPr>
              <w:t>.</w:t>
            </w:r>
            <w:r w:rsidR="00111779" w:rsidRPr="004E13EC">
              <w:rPr>
                <w:rFonts w:ascii="Arial" w:hAnsi="Arial" w:cs="Arial"/>
                <w:b/>
                <w:sz w:val="22"/>
                <w:szCs w:val="22"/>
              </w:rPr>
              <w:t>636</w:t>
            </w:r>
          </w:p>
          <w:p w:rsidR="0009329B" w:rsidRPr="004E13EC" w:rsidRDefault="0009329B" w:rsidP="004E13EC">
            <w:pPr>
              <w:pStyle w:val="Textosinformato"/>
              <w:spacing w:line="360" w:lineRule="auto"/>
              <w:jc w:val="center"/>
              <w:rPr>
                <w:rFonts w:ascii="Arial" w:hAnsi="Arial" w:cs="Arial"/>
                <w:b/>
                <w:sz w:val="22"/>
                <w:u w:val="single"/>
              </w:rPr>
            </w:pPr>
            <w:r w:rsidRPr="004E13EC">
              <w:rPr>
                <w:rFonts w:ascii="Arial" w:hAnsi="Arial" w:cs="Arial"/>
                <w:b/>
                <w:sz w:val="22"/>
                <w:szCs w:val="22"/>
              </w:rPr>
              <w:t>TABLA DE ANTECEDENTES</w:t>
            </w:r>
          </w:p>
        </w:tc>
      </w:tr>
      <w:tr w:rsidR="0009329B" w:rsidRPr="004E13EC" w:rsidTr="00E13E98">
        <w:trPr>
          <w:trHeight w:val="439"/>
          <w:jc w:val="center"/>
        </w:trPr>
        <w:tc>
          <w:tcPr>
            <w:tcW w:w="3780" w:type="dxa"/>
            <w:vAlign w:val="center"/>
          </w:tcPr>
          <w:p w:rsidR="0009329B" w:rsidRPr="004E13EC" w:rsidRDefault="0009329B" w:rsidP="00E13E98">
            <w:pPr>
              <w:pStyle w:val="Textosinformato"/>
              <w:spacing w:line="360" w:lineRule="auto"/>
              <w:jc w:val="center"/>
              <w:rPr>
                <w:rFonts w:ascii="Arial" w:hAnsi="Arial" w:cs="Arial"/>
                <w:b/>
                <w:sz w:val="22"/>
              </w:rPr>
            </w:pPr>
            <w:r w:rsidRPr="004E13EC">
              <w:rPr>
                <w:rFonts w:ascii="Arial" w:hAnsi="Arial" w:cs="Arial"/>
                <w:b/>
                <w:sz w:val="22"/>
                <w:szCs w:val="22"/>
              </w:rPr>
              <w:t>Artículo del Texto</w:t>
            </w:r>
            <w:r w:rsidR="00E13E98">
              <w:rPr>
                <w:rFonts w:ascii="Arial" w:hAnsi="Arial" w:cs="Arial"/>
                <w:b/>
                <w:sz w:val="22"/>
              </w:rPr>
              <w:t xml:space="preserve"> </w:t>
            </w:r>
            <w:r w:rsidRPr="004E13EC">
              <w:rPr>
                <w:rFonts w:ascii="Arial" w:hAnsi="Arial" w:cs="Arial"/>
                <w:b/>
                <w:sz w:val="22"/>
                <w:szCs w:val="22"/>
              </w:rPr>
              <w:t>Definitivo</w:t>
            </w:r>
          </w:p>
        </w:tc>
        <w:tc>
          <w:tcPr>
            <w:tcW w:w="5220" w:type="dxa"/>
            <w:vAlign w:val="center"/>
          </w:tcPr>
          <w:p w:rsidR="0009329B" w:rsidRPr="004E13EC" w:rsidRDefault="0009329B" w:rsidP="004E13EC">
            <w:pPr>
              <w:pStyle w:val="Textosinformato"/>
              <w:spacing w:line="360" w:lineRule="auto"/>
              <w:jc w:val="center"/>
              <w:rPr>
                <w:rFonts w:ascii="Arial" w:hAnsi="Arial" w:cs="Arial"/>
                <w:b/>
                <w:sz w:val="22"/>
              </w:rPr>
            </w:pPr>
            <w:r w:rsidRPr="004E13EC">
              <w:rPr>
                <w:rFonts w:ascii="Arial" w:hAnsi="Arial" w:cs="Arial"/>
                <w:b/>
                <w:sz w:val="22"/>
                <w:szCs w:val="22"/>
              </w:rPr>
              <w:t>Fuente</w:t>
            </w:r>
          </w:p>
        </w:tc>
      </w:tr>
      <w:tr w:rsidR="0009329B" w:rsidRPr="004E13EC" w:rsidTr="004E13EC">
        <w:trPr>
          <w:trHeight w:val="555"/>
          <w:jc w:val="center"/>
        </w:trPr>
        <w:tc>
          <w:tcPr>
            <w:tcW w:w="9000" w:type="dxa"/>
            <w:gridSpan w:val="2"/>
            <w:vAlign w:val="center"/>
          </w:tcPr>
          <w:p w:rsidR="0009329B" w:rsidRPr="004E13EC" w:rsidRDefault="0009329B" w:rsidP="004E13EC">
            <w:pPr>
              <w:pStyle w:val="Textosinformato"/>
              <w:spacing w:line="360" w:lineRule="auto"/>
              <w:jc w:val="center"/>
              <w:rPr>
                <w:rFonts w:ascii="Arial" w:hAnsi="Arial" w:cs="Arial"/>
                <w:sz w:val="22"/>
              </w:rPr>
            </w:pPr>
            <w:r w:rsidRPr="004E13EC">
              <w:rPr>
                <w:rFonts w:ascii="Arial" w:hAnsi="Arial" w:cs="Arial"/>
                <w:sz w:val="22"/>
                <w:szCs w:val="22"/>
              </w:rPr>
              <w:t>Todos los artículos de este texto definitivo provienen del texto original de la Ley</w:t>
            </w:r>
            <w:r w:rsidR="00111779" w:rsidRPr="004E13EC">
              <w:rPr>
                <w:rFonts w:ascii="Arial" w:hAnsi="Arial" w:cs="Arial"/>
                <w:sz w:val="22"/>
                <w:szCs w:val="22"/>
              </w:rPr>
              <w:t xml:space="preserve"> N°1</w:t>
            </w:r>
            <w:r w:rsidR="004E13EC">
              <w:rPr>
                <w:rFonts w:ascii="Arial" w:hAnsi="Arial" w:cs="Arial"/>
                <w:sz w:val="22"/>
                <w:szCs w:val="22"/>
              </w:rPr>
              <w:t>.</w:t>
            </w:r>
            <w:r w:rsidR="00111779" w:rsidRPr="004E13EC">
              <w:rPr>
                <w:rFonts w:ascii="Arial" w:hAnsi="Arial" w:cs="Arial"/>
                <w:sz w:val="22"/>
                <w:szCs w:val="22"/>
              </w:rPr>
              <w:t>636</w:t>
            </w:r>
          </w:p>
        </w:tc>
      </w:tr>
    </w:tbl>
    <w:p w:rsidR="0009329B" w:rsidRDefault="0009329B" w:rsidP="004E13EC">
      <w:pPr>
        <w:spacing w:line="360" w:lineRule="auto"/>
        <w:rPr>
          <w:rFonts w:ascii="Arial" w:hAnsi="Arial" w:cs="Arial"/>
          <w:sz w:val="22"/>
          <w:szCs w:val="22"/>
        </w:rPr>
      </w:pPr>
    </w:p>
    <w:p w:rsidR="00E13E98" w:rsidRPr="004E13EC" w:rsidRDefault="00E13E98" w:rsidP="004E13EC">
      <w:pPr>
        <w:spacing w:line="360" w:lineRule="auto"/>
        <w:rPr>
          <w:rFonts w:ascii="Arial" w:hAnsi="Arial" w:cs="Arial"/>
          <w:sz w:val="22"/>
          <w:szCs w:val="22"/>
        </w:rPr>
      </w:pPr>
    </w:p>
    <w:p w:rsidR="00111779" w:rsidRPr="004E13EC" w:rsidRDefault="00111779" w:rsidP="004E13EC">
      <w:pPr>
        <w:spacing w:line="360" w:lineRule="auto"/>
        <w:rPr>
          <w:rFonts w:ascii="Arial" w:hAnsi="Arial" w:cs="Arial"/>
          <w:b/>
          <w:sz w:val="22"/>
          <w:szCs w:val="22"/>
        </w:rPr>
      </w:pPr>
      <w:r w:rsidRPr="004E13EC">
        <w:rPr>
          <w:rFonts w:ascii="Arial" w:hAnsi="Arial" w:cs="Arial"/>
          <w:b/>
          <w:sz w:val="22"/>
          <w:szCs w:val="22"/>
        </w:rPr>
        <w:lastRenderedPageBreak/>
        <w:t>Artículos suprimidos:</w:t>
      </w:r>
    </w:p>
    <w:p w:rsidR="00111779" w:rsidRPr="004E13EC" w:rsidRDefault="00111779" w:rsidP="004E13EC">
      <w:pPr>
        <w:spacing w:line="360" w:lineRule="auto"/>
        <w:rPr>
          <w:rFonts w:ascii="Arial" w:hAnsi="Arial" w:cs="Arial"/>
          <w:sz w:val="22"/>
          <w:szCs w:val="22"/>
        </w:rPr>
      </w:pPr>
      <w:r w:rsidRPr="004E13EC">
        <w:rPr>
          <w:rFonts w:ascii="Arial" w:hAnsi="Arial" w:cs="Arial"/>
          <w:b/>
          <w:sz w:val="22"/>
          <w:szCs w:val="22"/>
        </w:rPr>
        <w:t>Anterior art. 9:-</w:t>
      </w:r>
      <w:r w:rsidRPr="004E13EC">
        <w:rPr>
          <w:rFonts w:ascii="Arial" w:hAnsi="Arial" w:cs="Arial"/>
          <w:sz w:val="22"/>
          <w:szCs w:val="22"/>
        </w:rPr>
        <w:t xml:space="preserve"> </w:t>
      </w:r>
      <w:r w:rsidR="004E13EC">
        <w:rPr>
          <w:rFonts w:ascii="Arial" w:hAnsi="Arial" w:cs="Arial"/>
          <w:sz w:val="22"/>
          <w:szCs w:val="22"/>
        </w:rPr>
        <w:t>C</w:t>
      </w:r>
      <w:r w:rsidRPr="004E13EC">
        <w:rPr>
          <w:rFonts w:ascii="Arial" w:hAnsi="Arial" w:cs="Arial"/>
          <w:sz w:val="22"/>
          <w:szCs w:val="22"/>
        </w:rPr>
        <w:t xml:space="preserve">aducidad por </w:t>
      </w:r>
      <w:r w:rsidR="004E13EC">
        <w:rPr>
          <w:rFonts w:ascii="Arial" w:hAnsi="Arial" w:cs="Arial"/>
          <w:sz w:val="22"/>
          <w:szCs w:val="22"/>
        </w:rPr>
        <w:t>objeto cumplido.</w:t>
      </w:r>
    </w:p>
    <w:p w:rsidR="0009329B" w:rsidRPr="004E13EC" w:rsidRDefault="0009329B" w:rsidP="004E13EC">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9"/>
        <w:gridCol w:w="2835"/>
        <w:gridCol w:w="3226"/>
      </w:tblGrid>
      <w:tr w:rsidR="0009329B" w:rsidRPr="004E13EC" w:rsidTr="004E13EC">
        <w:trPr>
          <w:jc w:val="center"/>
        </w:trPr>
        <w:tc>
          <w:tcPr>
            <w:tcW w:w="9180" w:type="dxa"/>
            <w:gridSpan w:val="3"/>
            <w:vAlign w:val="center"/>
          </w:tcPr>
          <w:p w:rsidR="0009329B" w:rsidRPr="004E13EC" w:rsidRDefault="0009329B" w:rsidP="004E13EC">
            <w:pPr>
              <w:pStyle w:val="Textosinformato"/>
              <w:spacing w:before="240" w:line="360" w:lineRule="auto"/>
              <w:jc w:val="center"/>
              <w:rPr>
                <w:rFonts w:ascii="Arial" w:hAnsi="Arial" w:cs="Arial"/>
                <w:sz w:val="22"/>
                <w:u w:val="single"/>
              </w:rPr>
            </w:pPr>
            <w:r w:rsidRPr="004E13EC">
              <w:rPr>
                <w:rFonts w:ascii="Arial" w:hAnsi="Arial" w:cs="Arial"/>
                <w:b/>
                <w:sz w:val="22"/>
                <w:szCs w:val="22"/>
              </w:rPr>
              <w:t xml:space="preserve">LEY </w:t>
            </w:r>
            <w:r w:rsidR="00111779" w:rsidRPr="004E13EC">
              <w:rPr>
                <w:rFonts w:ascii="Arial" w:hAnsi="Arial" w:cs="Arial"/>
                <w:b/>
                <w:sz w:val="22"/>
                <w:szCs w:val="22"/>
              </w:rPr>
              <w:t>H</w:t>
            </w:r>
            <w:r w:rsidR="003F1762" w:rsidRPr="004E13EC">
              <w:rPr>
                <w:rFonts w:ascii="Arial" w:hAnsi="Arial" w:cs="Arial"/>
                <w:b/>
                <w:sz w:val="22"/>
                <w:szCs w:val="22"/>
              </w:rPr>
              <w:t xml:space="preserve"> </w:t>
            </w:r>
            <w:r w:rsidRPr="004E13EC">
              <w:rPr>
                <w:rFonts w:ascii="Arial" w:hAnsi="Arial" w:cs="Arial"/>
                <w:b/>
                <w:sz w:val="22"/>
                <w:szCs w:val="22"/>
              </w:rPr>
              <w:t xml:space="preserve">- N° </w:t>
            </w:r>
            <w:r w:rsidR="00111779" w:rsidRPr="004E13EC">
              <w:rPr>
                <w:rFonts w:ascii="Arial" w:hAnsi="Arial" w:cs="Arial"/>
                <w:b/>
                <w:sz w:val="22"/>
                <w:szCs w:val="22"/>
              </w:rPr>
              <w:t>1</w:t>
            </w:r>
            <w:r w:rsidR="004E13EC">
              <w:rPr>
                <w:rFonts w:ascii="Arial" w:hAnsi="Arial" w:cs="Arial"/>
                <w:b/>
                <w:sz w:val="22"/>
                <w:szCs w:val="22"/>
              </w:rPr>
              <w:t>.</w:t>
            </w:r>
            <w:r w:rsidR="00111779" w:rsidRPr="004E13EC">
              <w:rPr>
                <w:rFonts w:ascii="Arial" w:hAnsi="Arial" w:cs="Arial"/>
                <w:b/>
                <w:sz w:val="22"/>
                <w:szCs w:val="22"/>
              </w:rPr>
              <w:t>636</w:t>
            </w:r>
          </w:p>
          <w:p w:rsidR="0009329B" w:rsidRPr="004E13EC" w:rsidRDefault="0009329B" w:rsidP="004E13EC">
            <w:pPr>
              <w:pStyle w:val="Textosinformato"/>
              <w:spacing w:line="360" w:lineRule="auto"/>
              <w:jc w:val="center"/>
              <w:rPr>
                <w:rFonts w:ascii="Arial" w:hAnsi="Arial" w:cs="Arial"/>
                <w:sz w:val="22"/>
              </w:rPr>
            </w:pPr>
            <w:r w:rsidRPr="004E13EC">
              <w:rPr>
                <w:rFonts w:ascii="Arial" w:hAnsi="Arial" w:cs="Arial"/>
                <w:b/>
                <w:sz w:val="22"/>
                <w:szCs w:val="22"/>
              </w:rPr>
              <w:t>TABLA DE EQUIVALENCIAS</w:t>
            </w:r>
          </w:p>
        </w:tc>
      </w:tr>
      <w:tr w:rsidR="0009329B" w:rsidRPr="004E13EC" w:rsidTr="004E13EC">
        <w:trPr>
          <w:jc w:val="center"/>
        </w:trPr>
        <w:tc>
          <w:tcPr>
            <w:tcW w:w="3119" w:type="dxa"/>
            <w:vAlign w:val="center"/>
          </w:tcPr>
          <w:p w:rsidR="0009329B" w:rsidRPr="004E13EC" w:rsidRDefault="0009329B" w:rsidP="004E13EC">
            <w:pPr>
              <w:spacing w:line="360" w:lineRule="auto"/>
              <w:jc w:val="center"/>
              <w:rPr>
                <w:rFonts w:ascii="Arial" w:hAnsi="Arial" w:cs="Arial"/>
                <w:b/>
              </w:rPr>
            </w:pPr>
            <w:r w:rsidRPr="004E13EC">
              <w:rPr>
                <w:rFonts w:ascii="Arial" w:hAnsi="Arial" w:cs="Arial"/>
                <w:b/>
                <w:sz w:val="22"/>
                <w:szCs w:val="22"/>
              </w:rPr>
              <w:t>Número de artículo</w:t>
            </w:r>
          </w:p>
          <w:p w:rsidR="0009329B" w:rsidRPr="004E13EC" w:rsidRDefault="0009329B" w:rsidP="004E13EC">
            <w:pPr>
              <w:spacing w:line="360" w:lineRule="auto"/>
              <w:jc w:val="center"/>
              <w:rPr>
                <w:rFonts w:ascii="Arial" w:hAnsi="Arial" w:cs="Arial"/>
                <w:b/>
              </w:rPr>
            </w:pPr>
            <w:r w:rsidRPr="004E13EC">
              <w:rPr>
                <w:rFonts w:ascii="Arial" w:hAnsi="Arial" w:cs="Arial"/>
                <w:b/>
                <w:sz w:val="22"/>
                <w:szCs w:val="22"/>
              </w:rPr>
              <w:t>del Texto Definitivo</w:t>
            </w:r>
          </w:p>
        </w:tc>
        <w:tc>
          <w:tcPr>
            <w:tcW w:w="2835" w:type="dxa"/>
            <w:vAlign w:val="center"/>
          </w:tcPr>
          <w:p w:rsidR="0009329B" w:rsidRPr="004E13EC" w:rsidRDefault="0009329B" w:rsidP="004E13EC">
            <w:pPr>
              <w:spacing w:line="360" w:lineRule="auto"/>
              <w:jc w:val="center"/>
              <w:rPr>
                <w:rFonts w:ascii="Arial" w:hAnsi="Arial" w:cs="Arial"/>
                <w:b/>
              </w:rPr>
            </w:pPr>
            <w:r w:rsidRPr="004E13EC">
              <w:rPr>
                <w:rFonts w:ascii="Arial" w:hAnsi="Arial" w:cs="Arial"/>
                <w:b/>
                <w:sz w:val="22"/>
                <w:szCs w:val="22"/>
              </w:rPr>
              <w:t>Número de artículo</w:t>
            </w:r>
          </w:p>
          <w:p w:rsidR="0009329B" w:rsidRPr="004E13EC" w:rsidRDefault="0009329B" w:rsidP="004E13EC">
            <w:pPr>
              <w:spacing w:line="360" w:lineRule="auto"/>
              <w:jc w:val="center"/>
              <w:rPr>
                <w:rFonts w:ascii="Arial" w:hAnsi="Arial" w:cs="Arial"/>
                <w:b/>
              </w:rPr>
            </w:pPr>
            <w:r w:rsidRPr="004E13EC">
              <w:rPr>
                <w:rFonts w:ascii="Arial" w:hAnsi="Arial" w:cs="Arial"/>
                <w:b/>
                <w:sz w:val="22"/>
                <w:szCs w:val="22"/>
              </w:rPr>
              <w:t>del Texto de Referencia (Ley</w:t>
            </w:r>
            <w:r w:rsidR="003F1762" w:rsidRPr="004E13EC">
              <w:rPr>
                <w:rFonts w:ascii="Arial" w:hAnsi="Arial" w:cs="Arial"/>
                <w:b/>
                <w:sz w:val="22"/>
                <w:szCs w:val="22"/>
              </w:rPr>
              <w:t xml:space="preserve"> </w:t>
            </w:r>
            <w:r w:rsidR="00111779" w:rsidRPr="004E13EC">
              <w:rPr>
                <w:rFonts w:ascii="Arial" w:hAnsi="Arial" w:cs="Arial"/>
                <w:b/>
                <w:sz w:val="22"/>
                <w:szCs w:val="22"/>
              </w:rPr>
              <w:t>1</w:t>
            </w:r>
            <w:r w:rsidR="004E13EC">
              <w:rPr>
                <w:rFonts w:ascii="Arial" w:hAnsi="Arial" w:cs="Arial"/>
                <w:b/>
                <w:sz w:val="22"/>
                <w:szCs w:val="22"/>
              </w:rPr>
              <w:t>.</w:t>
            </w:r>
            <w:r w:rsidR="00111779" w:rsidRPr="004E13EC">
              <w:rPr>
                <w:rFonts w:ascii="Arial" w:hAnsi="Arial" w:cs="Arial"/>
                <w:b/>
                <w:sz w:val="22"/>
                <w:szCs w:val="22"/>
              </w:rPr>
              <w:t>636</w:t>
            </w:r>
            <w:r w:rsidRPr="004E13EC">
              <w:rPr>
                <w:rFonts w:ascii="Arial" w:hAnsi="Arial" w:cs="Arial"/>
                <w:b/>
                <w:sz w:val="22"/>
                <w:szCs w:val="22"/>
              </w:rPr>
              <w:t>)</w:t>
            </w:r>
          </w:p>
        </w:tc>
        <w:tc>
          <w:tcPr>
            <w:tcW w:w="3226" w:type="dxa"/>
            <w:vAlign w:val="center"/>
          </w:tcPr>
          <w:p w:rsidR="0009329B" w:rsidRPr="004E13EC" w:rsidRDefault="0009329B" w:rsidP="004E13EC">
            <w:pPr>
              <w:spacing w:line="360" w:lineRule="auto"/>
              <w:jc w:val="center"/>
              <w:rPr>
                <w:rFonts w:ascii="Arial" w:hAnsi="Arial" w:cs="Arial"/>
                <w:b/>
              </w:rPr>
            </w:pPr>
            <w:r w:rsidRPr="004E13EC">
              <w:rPr>
                <w:rFonts w:ascii="Arial" w:hAnsi="Arial" w:cs="Arial"/>
                <w:b/>
                <w:sz w:val="22"/>
                <w:szCs w:val="22"/>
              </w:rPr>
              <w:t>Observaciones</w:t>
            </w:r>
          </w:p>
        </w:tc>
      </w:tr>
      <w:tr w:rsidR="004E13EC" w:rsidRPr="004E13EC" w:rsidTr="004E13EC">
        <w:trPr>
          <w:jc w:val="center"/>
        </w:trPr>
        <w:tc>
          <w:tcPr>
            <w:tcW w:w="3119" w:type="dxa"/>
            <w:vAlign w:val="center"/>
          </w:tcPr>
          <w:p w:rsidR="004E13EC" w:rsidRDefault="004E13EC" w:rsidP="004E13EC">
            <w:pPr>
              <w:spacing w:line="360" w:lineRule="auto"/>
              <w:jc w:val="center"/>
              <w:rPr>
                <w:rFonts w:ascii="Arial" w:hAnsi="Arial" w:cs="Arial"/>
              </w:rPr>
            </w:pPr>
            <w:r>
              <w:rPr>
                <w:rFonts w:ascii="Arial" w:hAnsi="Arial" w:cs="Arial"/>
                <w:sz w:val="22"/>
                <w:szCs w:val="22"/>
              </w:rPr>
              <w:t>1° / 8°</w:t>
            </w:r>
          </w:p>
          <w:p w:rsidR="004E13EC" w:rsidRPr="004E13EC" w:rsidRDefault="004E13EC" w:rsidP="004E13EC">
            <w:pPr>
              <w:spacing w:line="360" w:lineRule="auto"/>
              <w:jc w:val="center"/>
              <w:rPr>
                <w:rFonts w:ascii="Arial" w:hAnsi="Arial" w:cs="Arial"/>
              </w:rPr>
            </w:pPr>
            <w:r>
              <w:rPr>
                <w:rFonts w:ascii="Arial" w:hAnsi="Arial" w:cs="Arial"/>
                <w:sz w:val="22"/>
                <w:szCs w:val="22"/>
              </w:rPr>
              <w:t>9°</w:t>
            </w:r>
          </w:p>
        </w:tc>
        <w:tc>
          <w:tcPr>
            <w:tcW w:w="2835" w:type="dxa"/>
            <w:vAlign w:val="center"/>
          </w:tcPr>
          <w:p w:rsidR="004E13EC" w:rsidRDefault="004E13EC" w:rsidP="004E13EC">
            <w:pPr>
              <w:spacing w:line="360" w:lineRule="auto"/>
              <w:jc w:val="center"/>
              <w:rPr>
                <w:rFonts w:ascii="Arial" w:hAnsi="Arial" w:cs="Arial"/>
              </w:rPr>
            </w:pPr>
            <w:r>
              <w:rPr>
                <w:rFonts w:ascii="Arial" w:hAnsi="Arial" w:cs="Arial"/>
                <w:sz w:val="22"/>
                <w:szCs w:val="22"/>
              </w:rPr>
              <w:t>1° / 8°</w:t>
            </w:r>
          </w:p>
          <w:p w:rsidR="004E13EC" w:rsidRPr="004E13EC" w:rsidRDefault="004E13EC" w:rsidP="004E13EC">
            <w:pPr>
              <w:spacing w:line="360" w:lineRule="auto"/>
              <w:jc w:val="center"/>
              <w:rPr>
                <w:rFonts w:ascii="Arial" w:hAnsi="Arial" w:cs="Arial"/>
              </w:rPr>
            </w:pPr>
            <w:r>
              <w:rPr>
                <w:rFonts w:ascii="Arial" w:hAnsi="Arial" w:cs="Arial"/>
                <w:sz w:val="22"/>
                <w:szCs w:val="22"/>
              </w:rPr>
              <w:t>10</w:t>
            </w:r>
          </w:p>
        </w:tc>
        <w:tc>
          <w:tcPr>
            <w:tcW w:w="3226" w:type="dxa"/>
            <w:vAlign w:val="center"/>
          </w:tcPr>
          <w:p w:rsidR="004E13EC" w:rsidRPr="004E13EC" w:rsidRDefault="004E13EC" w:rsidP="004E13EC">
            <w:pPr>
              <w:spacing w:line="360" w:lineRule="auto"/>
              <w:jc w:val="center"/>
              <w:rPr>
                <w:rFonts w:ascii="Arial" w:hAnsi="Arial" w:cs="Arial"/>
              </w:rPr>
            </w:pPr>
          </w:p>
        </w:tc>
      </w:tr>
    </w:tbl>
    <w:p w:rsidR="0009329B" w:rsidRPr="004E13EC" w:rsidRDefault="0009329B" w:rsidP="004E13EC">
      <w:pPr>
        <w:spacing w:line="360" w:lineRule="auto"/>
        <w:rPr>
          <w:rFonts w:ascii="Arial" w:hAnsi="Arial" w:cs="Arial"/>
          <w:sz w:val="22"/>
          <w:szCs w:val="22"/>
        </w:rPr>
      </w:pPr>
    </w:p>
    <w:p w:rsidR="00F914CB" w:rsidRPr="004E13EC" w:rsidRDefault="00F914CB" w:rsidP="004E13EC">
      <w:pPr>
        <w:spacing w:line="360" w:lineRule="auto"/>
        <w:rPr>
          <w:rFonts w:ascii="Arial" w:hAnsi="Arial" w:cs="Arial"/>
          <w:b/>
          <w:sz w:val="22"/>
          <w:szCs w:val="22"/>
          <w:u w:val="single"/>
        </w:rPr>
      </w:pPr>
      <w:r w:rsidRPr="004E13EC">
        <w:rPr>
          <w:rFonts w:ascii="Arial" w:hAnsi="Arial" w:cs="Arial"/>
          <w:b/>
          <w:sz w:val="22"/>
          <w:szCs w:val="22"/>
          <w:u w:val="single"/>
        </w:rPr>
        <w:t>Observaciones Generales:</w:t>
      </w:r>
    </w:p>
    <w:p w:rsidR="00111779" w:rsidRPr="004E13EC" w:rsidRDefault="00111779" w:rsidP="004E13EC">
      <w:pPr>
        <w:spacing w:line="360" w:lineRule="auto"/>
        <w:jc w:val="both"/>
        <w:rPr>
          <w:rFonts w:ascii="Arial" w:hAnsi="Arial" w:cs="Arial"/>
          <w:sz w:val="22"/>
          <w:szCs w:val="22"/>
          <w:lang w:val="es-AR"/>
        </w:rPr>
      </w:pPr>
      <w:r w:rsidRPr="004E13EC">
        <w:rPr>
          <w:rFonts w:ascii="Arial" w:hAnsi="Arial" w:cs="Arial"/>
          <w:sz w:val="22"/>
          <w:szCs w:val="22"/>
          <w:lang w:val="es-AR"/>
        </w:rPr>
        <w:t>Se deja constancia que las referencias al/los organismos consignados se refieren al/los mencionados en las normas, o a aquellos que actualmente los hubieren sustituido en las atribuciones y funciones previstas en la presente.</w:t>
      </w:r>
    </w:p>
    <w:sectPr w:rsidR="00111779" w:rsidRPr="004E13EC" w:rsidSect="004E13EC">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C4AFC"/>
    <w:rsid w:val="000D2BAC"/>
    <w:rsid w:val="00111779"/>
    <w:rsid w:val="002D2DC8"/>
    <w:rsid w:val="00356505"/>
    <w:rsid w:val="003F1762"/>
    <w:rsid w:val="004A7641"/>
    <w:rsid w:val="004E13EC"/>
    <w:rsid w:val="005A4669"/>
    <w:rsid w:val="005A7161"/>
    <w:rsid w:val="006506AC"/>
    <w:rsid w:val="006F6B15"/>
    <w:rsid w:val="008E3EF3"/>
    <w:rsid w:val="00921678"/>
    <w:rsid w:val="00B11C34"/>
    <w:rsid w:val="00B67A28"/>
    <w:rsid w:val="00C501A4"/>
    <w:rsid w:val="00C67C06"/>
    <w:rsid w:val="00C8756B"/>
    <w:rsid w:val="00DD1364"/>
    <w:rsid w:val="00E13E98"/>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790</Words>
  <Characters>4348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2014-09-08T19:15:00Z</dcterms:created>
  <dcterms:modified xsi:type="dcterms:W3CDTF">2015-10-02T21:49:00Z</dcterms:modified>
</cp:coreProperties>
</file>