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10A24" w:rsidP="007269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695C">
        <w:rPr>
          <w:rFonts w:ascii="Arial" w:hAnsi="Arial" w:cs="Arial"/>
          <w:b/>
          <w:sz w:val="22"/>
          <w:szCs w:val="22"/>
        </w:rPr>
        <w:t>2005-01-0808</w:t>
      </w:r>
    </w:p>
    <w:p w:rsidR="0072695C" w:rsidRPr="0072695C" w:rsidRDefault="0072695C" w:rsidP="0072695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2695C" w:rsidRPr="0072695C" w:rsidRDefault="007B2FE4" w:rsidP="007269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2FE4">
        <w:rPr>
          <w:rFonts w:ascii="Arial" w:hAnsi="Arial" w:cs="Arial"/>
          <w:b/>
          <w:sz w:val="22"/>
          <w:szCs w:val="22"/>
        </w:rPr>
        <w:t>LEY G - N° 1.535</w:t>
      </w:r>
    </w:p>
    <w:p w:rsidR="0072695C" w:rsidRDefault="0072695C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A24" w:rsidRPr="0072695C" w:rsidRDefault="00F10A2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695C">
        <w:rPr>
          <w:rFonts w:ascii="Arial" w:hAnsi="Arial" w:cs="Arial"/>
          <w:sz w:val="22"/>
          <w:szCs w:val="22"/>
        </w:rPr>
        <w:t>Artículo 1º</w:t>
      </w:r>
      <w:r w:rsidRPr="0072695C">
        <w:rPr>
          <w:rFonts w:ascii="Arial" w:hAnsi="Arial" w:cs="Arial"/>
          <w:i/>
          <w:sz w:val="22"/>
          <w:szCs w:val="22"/>
        </w:rPr>
        <w:t xml:space="preserve">.- Institución del Atlas de Patrimonio Cultural Inmaterial -. </w:t>
      </w:r>
      <w:r w:rsidRPr="0072695C">
        <w:rPr>
          <w:rFonts w:ascii="Arial" w:hAnsi="Arial" w:cs="Arial"/>
          <w:sz w:val="22"/>
          <w:szCs w:val="22"/>
        </w:rPr>
        <w:t>Se instituye el Relevamiento, Registro e Investigación del Patrimonio Cultural Intangible o Inmaterial, de fiestas, celebraciones y rituales que adquieren especial significación para la memoria, la identidad y la vida social de los habitantes de la Ciudad de Buenos Aires.</w:t>
      </w:r>
    </w:p>
    <w:p w:rsidR="002F1F48" w:rsidRDefault="002F1F48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A24" w:rsidRPr="0072695C" w:rsidRDefault="00F10A2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695C">
        <w:rPr>
          <w:rFonts w:ascii="Arial" w:hAnsi="Arial" w:cs="Arial"/>
          <w:sz w:val="22"/>
          <w:szCs w:val="22"/>
        </w:rPr>
        <w:t>Artículo 2°</w:t>
      </w:r>
      <w:r w:rsidRPr="0072695C">
        <w:rPr>
          <w:rFonts w:ascii="Arial" w:hAnsi="Arial" w:cs="Arial"/>
          <w:i/>
          <w:sz w:val="22"/>
          <w:szCs w:val="22"/>
        </w:rPr>
        <w:t>.- Intervención necesaria -.</w:t>
      </w:r>
      <w:r w:rsidRPr="0072695C">
        <w:rPr>
          <w:rFonts w:ascii="Arial" w:hAnsi="Arial" w:cs="Arial"/>
          <w:sz w:val="22"/>
          <w:szCs w:val="22"/>
        </w:rPr>
        <w:t xml:space="preserve"> La Comisión para la Preservación del Patrimonio Histórico Cultural de la Ciudad de Buenos Aires procederá a documentar, registrar y difundir los resultados de dicho relevamiento, mediante la creación de una base de datos y un archivo, así como de diversos tipos de publicaciones, muestras, jornadas, seminarios y toda otra actividad orientada hacia el conocimiento y difusión integral del patrimonio cultural inmaterial de Buenos Aires.</w:t>
      </w:r>
    </w:p>
    <w:p w:rsidR="002F1F48" w:rsidRDefault="002F1F48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A24" w:rsidRPr="0072695C" w:rsidRDefault="00F10A2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695C">
        <w:rPr>
          <w:rFonts w:ascii="Arial" w:hAnsi="Arial" w:cs="Arial"/>
          <w:sz w:val="22"/>
          <w:szCs w:val="22"/>
        </w:rPr>
        <w:t>Artículo 3°</w:t>
      </w:r>
      <w:r w:rsidRPr="0072695C">
        <w:rPr>
          <w:rFonts w:ascii="Arial" w:hAnsi="Arial" w:cs="Arial"/>
          <w:i/>
          <w:sz w:val="22"/>
          <w:szCs w:val="22"/>
        </w:rPr>
        <w:t>.- Propuestas de declaratorias -.</w:t>
      </w:r>
      <w:r w:rsidRPr="0072695C">
        <w:rPr>
          <w:rFonts w:ascii="Arial" w:hAnsi="Arial" w:cs="Arial"/>
          <w:sz w:val="22"/>
          <w:szCs w:val="22"/>
        </w:rPr>
        <w:t xml:space="preserve"> La Comisión para la Preservación del Patrimonio Histórico Cultural de la Ciudad de Buenos Aires, en su carácter de órgano asesor permanente del cumplimiento de la Ley N° 1.227/04 podrá elevar a la Secretaría de Cultura y/o Legislatura de la Ciudad de Buenos Aires, propuestas acompañadas de documentación debidamente fundamentada sobre expresiones culturales pasibles de ser declaradas bienes de interés cultural intangible o inmaterial de la Ciudad de Buenos Aires, sin perjuicio de lo establecido en la Constitución de la Ciudad de Buenos Aires acerca de las iniciativas legislativas.</w:t>
      </w:r>
    </w:p>
    <w:p w:rsidR="002F1F48" w:rsidRDefault="002F1F48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A24" w:rsidRPr="0072695C" w:rsidRDefault="00F10A2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695C">
        <w:rPr>
          <w:rFonts w:ascii="Arial" w:hAnsi="Arial" w:cs="Arial"/>
          <w:sz w:val="22"/>
          <w:szCs w:val="22"/>
        </w:rPr>
        <w:t>Artículo 4°</w:t>
      </w:r>
      <w:r w:rsidRPr="0072695C">
        <w:rPr>
          <w:rFonts w:ascii="Arial" w:hAnsi="Arial" w:cs="Arial"/>
          <w:i/>
          <w:sz w:val="22"/>
          <w:szCs w:val="22"/>
        </w:rPr>
        <w:t>.- Evaluaciones periódicas -.</w:t>
      </w:r>
      <w:r w:rsidRPr="0072695C">
        <w:rPr>
          <w:rFonts w:ascii="Arial" w:hAnsi="Arial" w:cs="Arial"/>
          <w:sz w:val="22"/>
          <w:szCs w:val="22"/>
        </w:rPr>
        <w:t xml:space="preserve"> La Comisión para la Preservación del Patrimonio Histórico Cultural de la Ciudad de Buenos Aires hará una reevaluación de las expresiones culturales relevadas y registradas cada cinco (5) años a partir de la fecha de realización y culminación del último.</w:t>
      </w:r>
    </w:p>
    <w:p w:rsidR="002F1F48" w:rsidRDefault="002F1F48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A24" w:rsidRPr="0072695C" w:rsidRDefault="00F10A2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695C">
        <w:rPr>
          <w:rFonts w:ascii="Arial" w:hAnsi="Arial" w:cs="Arial"/>
          <w:sz w:val="22"/>
          <w:szCs w:val="22"/>
        </w:rPr>
        <w:t>Artículo 5°</w:t>
      </w:r>
      <w:r w:rsidRPr="0072695C">
        <w:rPr>
          <w:rFonts w:ascii="Arial" w:hAnsi="Arial" w:cs="Arial"/>
          <w:i/>
          <w:sz w:val="22"/>
          <w:szCs w:val="22"/>
        </w:rPr>
        <w:t>.- Gastos -.</w:t>
      </w:r>
      <w:r w:rsidRPr="0072695C">
        <w:rPr>
          <w:rFonts w:ascii="Arial" w:hAnsi="Arial" w:cs="Arial"/>
          <w:sz w:val="22"/>
          <w:szCs w:val="22"/>
        </w:rPr>
        <w:t xml:space="preserve"> Los que demande el cumplimiento de la presente serán imputados al Presupuesto General de Gastos y Cálculo de recursos. </w:t>
      </w:r>
    </w:p>
    <w:p w:rsidR="0009329B" w:rsidRDefault="0009329B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B2FE4" w:rsidRDefault="007B2FE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B2FE4" w:rsidRDefault="007B2FE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B2FE4" w:rsidRDefault="007B2FE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B2FE4" w:rsidRDefault="007B2FE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B2FE4" w:rsidRPr="0072695C" w:rsidRDefault="007B2FE4" w:rsidP="007269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2695C" w:rsidTr="002F1F4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72695C" w:rsidRDefault="0009329B" w:rsidP="002F1F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269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269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F1F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535</w:t>
            </w:r>
          </w:p>
          <w:p w:rsidR="0009329B" w:rsidRPr="0072695C" w:rsidRDefault="0009329B" w:rsidP="002F1F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2695C" w:rsidTr="002F1F48">
        <w:trPr>
          <w:jc w:val="center"/>
        </w:trPr>
        <w:tc>
          <w:tcPr>
            <w:tcW w:w="3780" w:type="dxa"/>
            <w:vAlign w:val="center"/>
          </w:tcPr>
          <w:p w:rsidR="0009329B" w:rsidRPr="0072695C" w:rsidRDefault="0009329B" w:rsidP="007B2FE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B2F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269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2695C" w:rsidRDefault="0009329B" w:rsidP="002F1F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2695C" w:rsidTr="002F1F48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72695C" w:rsidRDefault="0009329B" w:rsidP="002F1F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2695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10A24" w:rsidRPr="0072695C">
              <w:rPr>
                <w:rFonts w:ascii="Arial" w:hAnsi="Arial" w:cs="Arial"/>
                <w:sz w:val="22"/>
                <w:szCs w:val="22"/>
              </w:rPr>
              <w:t>1</w:t>
            </w:r>
            <w:r w:rsidR="002F1F48">
              <w:rPr>
                <w:rFonts w:ascii="Arial" w:hAnsi="Arial" w:cs="Arial"/>
                <w:sz w:val="22"/>
                <w:szCs w:val="22"/>
              </w:rPr>
              <w:t>.</w:t>
            </w:r>
            <w:r w:rsidR="00F10A24" w:rsidRPr="0072695C">
              <w:rPr>
                <w:rFonts w:ascii="Arial" w:hAnsi="Arial" w:cs="Arial"/>
                <w:sz w:val="22"/>
                <w:szCs w:val="22"/>
              </w:rPr>
              <w:t>535.</w:t>
            </w:r>
          </w:p>
        </w:tc>
      </w:tr>
    </w:tbl>
    <w:p w:rsidR="0009329B" w:rsidRPr="0072695C" w:rsidRDefault="0009329B" w:rsidP="0072695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2695C" w:rsidTr="003A2640">
        <w:trPr>
          <w:jc w:val="center"/>
        </w:trPr>
        <w:tc>
          <w:tcPr>
            <w:tcW w:w="8969" w:type="dxa"/>
            <w:gridSpan w:val="3"/>
          </w:tcPr>
          <w:p w:rsidR="0009329B" w:rsidRPr="0072695C" w:rsidRDefault="0009329B" w:rsidP="002F1F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269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269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B2FE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535</w:t>
            </w:r>
          </w:p>
          <w:p w:rsidR="0009329B" w:rsidRPr="0072695C" w:rsidRDefault="0009329B" w:rsidP="002F1F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2695C" w:rsidTr="003A2640">
        <w:trPr>
          <w:jc w:val="center"/>
        </w:trPr>
        <w:tc>
          <w:tcPr>
            <w:tcW w:w="3090" w:type="dxa"/>
            <w:vAlign w:val="center"/>
          </w:tcPr>
          <w:p w:rsidR="0009329B" w:rsidRPr="0072695C" w:rsidRDefault="0009329B" w:rsidP="007269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2695C" w:rsidRDefault="0009329B" w:rsidP="007269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2695C" w:rsidRDefault="0009329B" w:rsidP="007269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2695C" w:rsidRDefault="003A2640" w:rsidP="007269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B2FE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10A24" w:rsidRPr="0072695C">
              <w:rPr>
                <w:rFonts w:ascii="Arial" w:hAnsi="Arial" w:cs="Arial"/>
                <w:b/>
                <w:sz w:val="22"/>
                <w:szCs w:val="22"/>
              </w:rPr>
              <w:t>535</w:t>
            </w:r>
            <w:r w:rsidR="0009329B" w:rsidRPr="0072695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2695C" w:rsidRDefault="0009329B" w:rsidP="007269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269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2695C" w:rsidTr="003A2640">
        <w:trPr>
          <w:jc w:val="center"/>
        </w:trPr>
        <w:tc>
          <w:tcPr>
            <w:tcW w:w="8969" w:type="dxa"/>
            <w:gridSpan w:val="3"/>
          </w:tcPr>
          <w:p w:rsidR="0009329B" w:rsidRPr="0072695C" w:rsidRDefault="0009329B" w:rsidP="007269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2695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10A24" w:rsidRPr="0072695C">
              <w:rPr>
                <w:rFonts w:ascii="Arial" w:hAnsi="Arial" w:cs="Arial"/>
                <w:sz w:val="22"/>
                <w:szCs w:val="22"/>
              </w:rPr>
              <w:t>1</w:t>
            </w:r>
            <w:r w:rsidR="007B2FE4">
              <w:rPr>
                <w:rFonts w:ascii="Arial" w:hAnsi="Arial" w:cs="Arial"/>
                <w:sz w:val="22"/>
                <w:szCs w:val="22"/>
              </w:rPr>
              <w:t>.</w:t>
            </w:r>
            <w:r w:rsidR="00F10A24" w:rsidRPr="0072695C">
              <w:rPr>
                <w:rFonts w:ascii="Arial" w:hAnsi="Arial" w:cs="Arial"/>
                <w:sz w:val="22"/>
                <w:szCs w:val="22"/>
              </w:rPr>
              <w:t>535</w:t>
            </w:r>
            <w:r w:rsidRPr="007269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2695C" w:rsidRDefault="0009329B" w:rsidP="0072695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2695C" w:rsidRDefault="00F914CB" w:rsidP="007269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695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2695C">
        <w:rPr>
          <w:rFonts w:ascii="Arial" w:hAnsi="Arial" w:cs="Arial"/>
          <w:b/>
          <w:sz w:val="22"/>
          <w:szCs w:val="22"/>
        </w:rPr>
        <w:t>:</w:t>
      </w:r>
    </w:p>
    <w:p w:rsidR="00386FC6" w:rsidRPr="002F1F48" w:rsidRDefault="00F10A24" w:rsidP="002F1F48">
      <w:pPr>
        <w:pStyle w:val="Prrafodelista"/>
        <w:numPr>
          <w:ilvl w:val="0"/>
          <w:numId w:val="1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2F1F48">
        <w:rPr>
          <w:rFonts w:ascii="Arial" w:hAnsi="Arial" w:cs="Arial"/>
          <w:color w:val="222222"/>
          <w:sz w:val="22"/>
          <w:szCs w:val="22"/>
          <w:shd w:val="clear" w:color="auto" w:fill="FFFFFF"/>
        </w:rPr>
        <w:t>En el artículo 5° se eliminó la referencia temporal del Presupuesto</w:t>
      </w:r>
      <w:r w:rsidRPr="002F1F48">
        <w:rPr>
          <w:rStyle w:val="apple-converted-space"/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  <w:r w:rsidRPr="002F1F48">
        <w:rPr>
          <w:rFonts w:ascii="Arial" w:hAnsi="Arial" w:cs="Arial"/>
          <w:color w:val="222222"/>
          <w:sz w:val="22"/>
          <w:szCs w:val="22"/>
          <w:shd w:val="clear" w:color="auto" w:fill="FFFFFF"/>
        </w:rPr>
        <w:t>General de Gastos y Cálculo de Recursos</w:t>
      </w:r>
      <w:r w:rsidR="00386FC6" w:rsidRPr="002F1F48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</w:p>
    <w:p w:rsidR="00F10A24" w:rsidRPr="002F1F48" w:rsidRDefault="00386FC6" w:rsidP="002F1F48">
      <w:pPr>
        <w:pStyle w:val="Prrafodelista"/>
        <w:numPr>
          <w:ilvl w:val="0"/>
          <w:numId w:val="1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F1F48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F10A24" w:rsidRPr="002F1F48" w:rsidSect="002F1F4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320F8"/>
    <w:multiLevelType w:val="hybridMultilevel"/>
    <w:tmpl w:val="0C3E25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41E89"/>
    <w:rsid w:val="0009329B"/>
    <w:rsid w:val="001B119B"/>
    <w:rsid w:val="002B476A"/>
    <w:rsid w:val="002D2DC8"/>
    <w:rsid w:val="002F1F48"/>
    <w:rsid w:val="00333DA6"/>
    <w:rsid w:val="00386FC6"/>
    <w:rsid w:val="003A2640"/>
    <w:rsid w:val="004A7641"/>
    <w:rsid w:val="00596B6D"/>
    <w:rsid w:val="005C0D00"/>
    <w:rsid w:val="005D403A"/>
    <w:rsid w:val="006506AC"/>
    <w:rsid w:val="006B1B39"/>
    <w:rsid w:val="0072695C"/>
    <w:rsid w:val="007419A2"/>
    <w:rsid w:val="007B2FE4"/>
    <w:rsid w:val="00A476C0"/>
    <w:rsid w:val="00BF0F88"/>
    <w:rsid w:val="00C67C06"/>
    <w:rsid w:val="00D1374D"/>
    <w:rsid w:val="00F10A2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F10A24"/>
  </w:style>
  <w:style w:type="paragraph" w:styleId="Prrafodelista">
    <w:name w:val="List Paragraph"/>
    <w:basedOn w:val="Normal"/>
    <w:uiPriority w:val="34"/>
    <w:qFormat/>
    <w:rsid w:val="002F1F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2015-09-25T16:19:00Z</dcterms:modified>
</cp:coreProperties>
</file>