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6F73" w:rsidRDefault="00C07C9D" w:rsidP="003B2A81">
      <w:pPr>
        <w:spacing w:line="360" w:lineRule="auto"/>
        <w:rPr>
          <w:rFonts w:ascii="Arial" w:hAnsi="Arial" w:cs="Arial"/>
          <w:b/>
          <w:sz w:val="22"/>
          <w:szCs w:val="22"/>
        </w:rPr>
      </w:pPr>
      <w:r w:rsidRPr="00780D6A">
        <w:rPr>
          <w:rFonts w:ascii="Arial" w:hAnsi="Arial" w:cs="Arial"/>
          <w:b/>
          <w:sz w:val="22"/>
          <w:szCs w:val="22"/>
        </w:rPr>
        <w:t>2004-09-0640</w:t>
      </w:r>
    </w:p>
    <w:p w:rsidR="003B2A81" w:rsidRPr="00780D6A" w:rsidRDefault="003B2A81" w:rsidP="003B2A81">
      <w:pPr>
        <w:spacing w:line="360" w:lineRule="auto"/>
        <w:rPr>
          <w:rFonts w:ascii="Arial" w:hAnsi="Arial" w:cs="Arial"/>
          <w:sz w:val="22"/>
          <w:szCs w:val="22"/>
        </w:rPr>
      </w:pPr>
    </w:p>
    <w:p w:rsidR="0009329B" w:rsidRPr="00780D6A" w:rsidRDefault="0009329B" w:rsidP="003B2A81">
      <w:pPr>
        <w:pStyle w:val="NormalWeb"/>
        <w:spacing w:before="0" w:beforeAutospacing="0" w:after="0" w:afterAutospacing="0" w:line="360" w:lineRule="auto"/>
        <w:jc w:val="center"/>
        <w:rPr>
          <w:rFonts w:ascii="Arial" w:hAnsi="Arial" w:cs="Arial"/>
          <w:b/>
          <w:sz w:val="22"/>
          <w:szCs w:val="22"/>
        </w:rPr>
      </w:pPr>
      <w:r w:rsidRPr="00780D6A">
        <w:rPr>
          <w:rFonts w:ascii="Arial" w:hAnsi="Arial" w:cs="Arial"/>
          <w:b/>
          <w:sz w:val="22"/>
          <w:szCs w:val="22"/>
        </w:rPr>
        <w:t xml:space="preserve">LEY </w:t>
      </w:r>
      <w:r w:rsidR="00C07C9D" w:rsidRPr="00780D6A">
        <w:rPr>
          <w:rFonts w:ascii="Arial" w:hAnsi="Arial" w:cs="Arial"/>
          <w:b/>
          <w:sz w:val="22"/>
          <w:szCs w:val="22"/>
        </w:rPr>
        <w:t>H</w:t>
      </w:r>
      <w:r w:rsidR="003F1762" w:rsidRPr="00780D6A">
        <w:rPr>
          <w:rFonts w:ascii="Arial" w:hAnsi="Arial" w:cs="Arial"/>
          <w:b/>
          <w:sz w:val="22"/>
          <w:szCs w:val="22"/>
        </w:rPr>
        <w:t xml:space="preserve"> </w:t>
      </w:r>
      <w:r w:rsidRPr="00780D6A">
        <w:rPr>
          <w:rFonts w:ascii="Arial" w:hAnsi="Arial" w:cs="Arial"/>
          <w:b/>
          <w:sz w:val="22"/>
          <w:szCs w:val="22"/>
        </w:rPr>
        <w:t xml:space="preserve">- N° </w:t>
      </w:r>
      <w:r w:rsidR="00C07C9D" w:rsidRPr="00780D6A">
        <w:rPr>
          <w:rFonts w:ascii="Arial" w:hAnsi="Arial" w:cs="Arial"/>
          <w:b/>
          <w:sz w:val="22"/>
          <w:szCs w:val="22"/>
        </w:rPr>
        <w:t>1</w:t>
      </w:r>
      <w:r w:rsidR="003B2A81">
        <w:rPr>
          <w:rFonts w:ascii="Arial" w:hAnsi="Arial" w:cs="Arial"/>
          <w:b/>
          <w:sz w:val="22"/>
          <w:szCs w:val="22"/>
        </w:rPr>
        <w:t>.</w:t>
      </w:r>
      <w:r w:rsidR="00C07C9D" w:rsidRPr="00780D6A">
        <w:rPr>
          <w:rFonts w:ascii="Arial" w:hAnsi="Arial" w:cs="Arial"/>
          <w:b/>
          <w:sz w:val="22"/>
          <w:szCs w:val="22"/>
        </w:rPr>
        <w:t>416</w:t>
      </w:r>
    </w:p>
    <w:p w:rsidR="00C07C9D" w:rsidRPr="00780D6A" w:rsidRDefault="00C07C9D" w:rsidP="00780D6A">
      <w:pPr>
        <w:spacing w:line="360" w:lineRule="auto"/>
        <w:jc w:val="both"/>
        <w:rPr>
          <w:rFonts w:ascii="Arial" w:hAnsi="Arial" w:cs="Arial"/>
          <w:sz w:val="22"/>
          <w:szCs w:val="22"/>
          <w:lang w:val="es-ES_tradnl"/>
        </w:rPr>
      </w:pPr>
    </w:p>
    <w:p w:rsidR="00C07C9D" w:rsidRPr="00780D6A" w:rsidRDefault="00C07C9D" w:rsidP="00780D6A">
      <w:pPr>
        <w:spacing w:line="360" w:lineRule="auto"/>
        <w:jc w:val="both"/>
        <w:rPr>
          <w:rFonts w:ascii="Arial" w:hAnsi="Arial" w:cs="Arial"/>
          <w:sz w:val="22"/>
          <w:szCs w:val="22"/>
          <w:lang w:val="es-ES_tradnl"/>
        </w:rPr>
      </w:pPr>
      <w:r w:rsidRPr="00780D6A">
        <w:rPr>
          <w:rFonts w:ascii="Arial" w:hAnsi="Arial" w:cs="Arial"/>
          <w:sz w:val="22"/>
          <w:szCs w:val="22"/>
          <w:lang w:val="es-ES_tradnl"/>
        </w:rPr>
        <w:t>Artículo 1º: Declárase de responsabilidad del Gobierno de la Ciudad Autónoma de Buenos Aires la obligación de dar asistencia, tratamiento y suministro de medicamentos a quienes padecen el Diagnóstico de: Inmunodeficiencia Primaria (IDP) y otras en cualquiera de sus formas, cuya indicación terapéutica de base sea la infusión endovenosa de gammaglobulina de molécula entera (IVIG) con carácter sustitutivo. Dicha asistencia comprenderá la detección e investigación de sus agentes causales, el diagnóstico y tratamiento de la enfermedad, asistencia y rehabilitación, incluyendo la de sus patologías derivadas.</w:t>
      </w:r>
    </w:p>
    <w:p w:rsidR="00C07C9D" w:rsidRPr="00780D6A" w:rsidRDefault="00C07C9D" w:rsidP="00780D6A">
      <w:pPr>
        <w:spacing w:line="360" w:lineRule="auto"/>
        <w:jc w:val="both"/>
        <w:rPr>
          <w:rFonts w:ascii="Arial" w:hAnsi="Arial" w:cs="Arial"/>
          <w:sz w:val="22"/>
          <w:szCs w:val="22"/>
          <w:lang w:val="es-ES_tradnl"/>
        </w:rPr>
      </w:pPr>
      <w:r w:rsidRPr="00780D6A">
        <w:rPr>
          <w:rFonts w:ascii="Arial" w:hAnsi="Arial" w:cs="Arial"/>
          <w:sz w:val="22"/>
          <w:szCs w:val="22"/>
          <w:lang w:val="es-ES_tradnl"/>
        </w:rPr>
        <w:t xml:space="preserve">El </w:t>
      </w:r>
      <w:r w:rsidR="00F21D59" w:rsidRPr="00780D6A">
        <w:rPr>
          <w:rFonts w:ascii="Arial" w:hAnsi="Arial" w:cs="Arial"/>
          <w:sz w:val="22"/>
          <w:szCs w:val="22"/>
          <w:lang w:val="es-ES_tradnl"/>
        </w:rPr>
        <w:t>M</w:t>
      </w:r>
      <w:r w:rsidRPr="00780D6A">
        <w:rPr>
          <w:rFonts w:ascii="Arial" w:hAnsi="Arial" w:cs="Arial"/>
          <w:sz w:val="22"/>
          <w:szCs w:val="22"/>
          <w:lang w:val="es-ES_tradnl"/>
        </w:rPr>
        <w:t xml:space="preserve">inisterio de Salud del Gobierno de la Ciudad Autónoma de Buenos Aires dispondrá, a través de las áreas pertinentes, el dictado de las medidas necesarias para la divulgación de la problemática derivada de la enfermedad de Inmunodeficiencia Primaria y otras, cuya indicación terapéutica de base sea la infusión endovenosa de gammaglobulina de molécula entera (IVIG) con carácter sustitutivo, de acuerdo a los conocimientos científicamente aceptados, tendientes al reconocimiento temprano de la misma, su tratamiento y adecuado control. </w:t>
      </w:r>
    </w:p>
    <w:p w:rsidR="00C07C9D" w:rsidRPr="00780D6A" w:rsidRDefault="00C07C9D" w:rsidP="00780D6A">
      <w:pPr>
        <w:spacing w:line="360" w:lineRule="auto"/>
        <w:jc w:val="both"/>
        <w:rPr>
          <w:rFonts w:ascii="Arial" w:hAnsi="Arial" w:cs="Arial"/>
          <w:sz w:val="22"/>
          <w:szCs w:val="22"/>
          <w:lang w:val="es-ES_tradnl"/>
        </w:rPr>
      </w:pPr>
      <w:bookmarkStart w:id="0" w:name="_GoBack"/>
      <w:bookmarkEnd w:id="0"/>
      <w:r w:rsidRPr="00780D6A">
        <w:rPr>
          <w:rFonts w:ascii="Arial" w:hAnsi="Arial" w:cs="Arial"/>
          <w:sz w:val="22"/>
          <w:szCs w:val="22"/>
          <w:lang w:val="es-ES_tradnl"/>
        </w:rPr>
        <w:t>Llevará su control estadístico, prestará colaboración científica y técnica a las autoridades sanitarias de todo el país a fin de coordinar la planificación de acciones y deberá abocarse específicamente a los problemas de producción, provisión y dispensación para asegurar a todos los pacientes los medios terapéuticos y de control evolutivo, de acuerdo a la reglamentación que se dicte.</w:t>
      </w:r>
    </w:p>
    <w:p w:rsidR="00780D6A" w:rsidRDefault="00780D6A" w:rsidP="00780D6A">
      <w:pPr>
        <w:spacing w:line="360" w:lineRule="auto"/>
        <w:jc w:val="both"/>
        <w:rPr>
          <w:rFonts w:ascii="Arial" w:hAnsi="Arial" w:cs="Arial"/>
          <w:b/>
          <w:sz w:val="22"/>
          <w:szCs w:val="22"/>
          <w:lang w:val="es-ES_tradnl"/>
        </w:rPr>
      </w:pPr>
    </w:p>
    <w:p w:rsidR="00780D6A" w:rsidRDefault="00C07C9D" w:rsidP="00780D6A">
      <w:pPr>
        <w:spacing w:line="360" w:lineRule="auto"/>
        <w:jc w:val="both"/>
        <w:rPr>
          <w:rFonts w:ascii="Arial" w:hAnsi="Arial" w:cs="Arial"/>
          <w:sz w:val="22"/>
          <w:szCs w:val="22"/>
          <w:lang w:val="es-AR"/>
        </w:rPr>
      </w:pPr>
      <w:r w:rsidRPr="00780D6A">
        <w:rPr>
          <w:rFonts w:ascii="Arial" w:hAnsi="Arial" w:cs="Arial"/>
          <w:sz w:val="22"/>
          <w:szCs w:val="22"/>
        </w:rPr>
        <w:t>Artículo 2° -</w:t>
      </w:r>
      <w:r w:rsidRPr="00780D6A">
        <w:rPr>
          <w:rFonts w:ascii="Arial" w:hAnsi="Arial" w:cs="Arial"/>
          <w:sz w:val="22"/>
          <w:szCs w:val="22"/>
          <w:lang w:val="es-AR"/>
        </w:rPr>
        <w:t>La Inmunodeficiencia Primaria y otras, en cualquiera de sus formas, cuya indicación terapéutica de base sea la infusión endovenosa de gammaglobulina de molécula entera (IVIG) con carácter sustitutivo, no será causal de impedimento para el ingreso a la función pública, en el ámbito del Gobierno de la Ciudad Autónoma de Buenos Aires.</w:t>
      </w:r>
    </w:p>
    <w:p w:rsidR="00780D6A" w:rsidRDefault="00780D6A" w:rsidP="00780D6A">
      <w:pPr>
        <w:spacing w:line="360" w:lineRule="auto"/>
        <w:jc w:val="both"/>
        <w:rPr>
          <w:rFonts w:ascii="Arial" w:hAnsi="Arial" w:cs="Arial"/>
          <w:sz w:val="22"/>
          <w:szCs w:val="22"/>
          <w:lang w:val="es-AR"/>
        </w:rPr>
      </w:pPr>
    </w:p>
    <w:p w:rsidR="00C07C9D" w:rsidRPr="00780D6A" w:rsidRDefault="00C07C9D" w:rsidP="00780D6A">
      <w:pPr>
        <w:spacing w:line="360" w:lineRule="auto"/>
        <w:jc w:val="both"/>
        <w:rPr>
          <w:rFonts w:ascii="Arial" w:hAnsi="Arial" w:cs="Arial"/>
          <w:sz w:val="22"/>
          <w:szCs w:val="22"/>
          <w:lang w:val="es-AR"/>
        </w:rPr>
      </w:pPr>
      <w:r w:rsidRPr="00780D6A">
        <w:rPr>
          <w:rFonts w:ascii="Arial" w:hAnsi="Arial" w:cs="Arial"/>
          <w:sz w:val="22"/>
          <w:szCs w:val="22"/>
        </w:rPr>
        <w:t>Artículo 3° - La Secretaría de Salud del Gobierno de la Ciudad Autónoma de Buenos Aires dispondrá la constitución de juntas médicas especializadas para determinar las circunstancias de incapacidad específica que puedan presentarse para el ingreso laboral, así como para determinar incapacidades parciales o totales, transitorias o definitivas, que encuadren al hipogamaglobulémico en las leyes previsionales vigentes y en las que con carácter especial, promueve el Ministerio de Trabajo y Seguridad Social, de acuerdo a la reglamentación.</w:t>
      </w:r>
    </w:p>
    <w:p w:rsidR="00C07C9D" w:rsidRPr="00780D6A" w:rsidRDefault="00C07C9D" w:rsidP="00780D6A">
      <w:pPr>
        <w:spacing w:line="360" w:lineRule="auto"/>
        <w:jc w:val="both"/>
        <w:rPr>
          <w:rFonts w:ascii="Arial" w:hAnsi="Arial" w:cs="Arial"/>
          <w:sz w:val="22"/>
          <w:szCs w:val="22"/>
        </w:rPr>
      </w:pPr>
    </w:p>
    <w:p w:rsidR="00C07C9D" w:rsidRPr="00780D6A" w:rsidRDefault="00C07C9D" w:rsidP="00780D6A">
      <w:pPr>
        <w:spacing w:line="360" w:lineRule="auto"/>
        <w:jc w:val="both"/>
        <w:rPr>
          <w:rFonts w:ascii="Arial" w:hAnsi="Arial" w:cs="Arial"/>
          <w:sz w:val="22"/>
          <w:szCs w:val="22"/>
          <w:lang w:val="es-AR"/>
        </w:rPr>
      </w:pPr>
      <w:r w:rsidRPr="00780D6A">
        <w:rPr>
          <w:rFonts w:ascii="Arial" w:hAnsi="Arial" w:cs="Arial"/>
          <w:sz w:val="22"/>
          <w:szCs w:val="22"/>
        </w:rPr>
        <w:t>Artículo 4° -</w:t>
      </w:r>
      <w:r w:rsidRPr="00780D6A">
        <w:rPr>
          <w:rFonts w:ascii="Arial" w:hAnsi="Arial" w:cs="Arial"/>
          <w:b/>
          <w:sz w:val="22"/>
          <w:szCs w:val="22"/>
        </w:rPr>
        <w:t xml:space="preserve"> </w:t>
      </w:r>
      <w:r w:rsidRPr="00780D6A">
        <w:rPr>
          <w:rFonts w:ascii="Arial" w:hAnsi="Arial" w:cs="Arial"/>
          <w:sz w:val="22"/>
          <w:szCs w:val="22"/>
          <w:lang w:val="es-AR"/>
        </w:rPr>
        <w:t xml:space="preserve">La Autoridad de Aplicación dispondrá en su jurisdicción las medidas necesarias para garantizar a los pacientes con Inmunodeficiencia Primaria y otras en cualquiera de sus formas, cuya indicación terapéutica de base sea la infusión endovenosa de gammaglobulina de molécula </w:t>
      </w:r>
      <w:r w:rsidRPr="00780D6A">
        <w:rPr>
          <w:rFonts w:ascii="Arial" w:hAnsi="Arial" w:cs="Arial"/>
          <w:sz w:val="22"/>
          <w:szCs w:val="22"/>
          <w:lang w:val="es-AR"/>
        </w:rPr>
        <w:lastRenderedPageBreak/>
        <w:t>entera (IVIG) con carácter sustitutivo, el aprovisionamiento de los medicamentos y reactivos de diagnóstico para autocontrol que se estimen como elementos indispensables para un tratamiento adecuado, y se tendrá que establecer en un Programa con este fin y con las normas técnicas aprobadas por autoridad competente del Gobierno de la Ciudad Autónoma de Buenos Aires.</w:t>
      </w:r>
    </w:p>
    <w:p w:rsidR="00C07C9D" w:rsidRPr="00780D6A" w:rsidRDefault="00C07C9D" w:rsidP="00780D6A">
      <w:pPr>
        <w:spacing w:line="360" w:lineRule="auto"/>
        <w:jc w:val="both"/>
        <w:rPr>
          <w:rFonts w:ascii="Arial" w:hAnsi="Arial" w:cs="Arial"/>
          <w:sz w:val="22"/>
          <w:szCs w:val="22"/>
          <w:lang w:val="es-AR"/>
        </w:rPr>
      </w:pPr>
    </w:p>
    <w:p w:rsidR="00C07C9D" w:rsidRPr="00780D6A" w:rsidRDefault="00C07C9D" w:rsidP="00780D6A">
      <w:pPr>
        <w:spacing w:line="360" w:lineRule="auto"/>
        <w:jc w:val="both"/>
        <w:rPr>
          <w:rFonts w:ascii="Arial" w:hAnsi="Arial" w:cs="Arial"/>
          <w:sz w:val="22"/>
          <w:szCs w:val="22"/>
        </w:rPr>
      </w:pPr>
      <w:r w:rsidRPr="00780D6A">
        <w:rPr>
          <w:rFonts w:ascii="Arial" w:hAnsi="Arial" w:cs="Arial"/>
          <w:sz w:val="22"/>
          <w:szCs w:val="22"/>
        </w:rPr>
        <w:t>Artículo 5° -</w:t>
      </w:r>
      <w:r w:rsidRPr="00780D6A">
        <w:rPr>
          <w:rFonts w:ascii="Arial" w:hAnsi="Arial" w:cs="Arial"/>
          <w:b/>
          <w:sz w:val="22"/>
          <w:szCs w:val="22"/>
        </w:rPr>
        <w:t xml:space="preserve"> </w:t>
      </w:r>
      <w:r w:rsidRPr="00780D6A">
        <w:rPr>
          <w:rFonts w:ascii="Arial" w:hAnsi="Arial" w:cs="Arial"/>
          <w:sz w:val="22"/>
          <w:szCs w:val="22"/>
        </w:rPr>
        <w:t>El aprovisionamiento de medicamentos y demás elementos a que se refiere el artículo precedente será a cargo del Gobierno de la Ciudad Autónoma de Buenos Aires, para aquellos pacientes que concurran a los Hospitales Públicos dependientes de dicho Gobierno y que no contaren con cobertura médica privada o de Obra Social.</w:t>
      </w:r>
    </w:p>
    <w:p w:rsidR="00780D6A" w:rsidRDefault="00780D6A" w:rsidP="00780D6A">
      <w:pPr>
        <w:spacing w:line="360" w:lineRule="auto"/>
        <w:jc w:val="both"/>
        <w:rPr>
          <w:rFonts w:ascii="Arial" w:hAnsi="Arial" w:cs="Arial"/>
          <w:sz w:val="22"/>
          <w:szCs w:val="22"/>
        </w:rPr>
      </w:pPr>
    </w:p>
    <w:p w:rsidR="00C07C9D" w:rsidRPr="00780D6A" w:rsidRDefault="00C07C9D" w:rsidP="00780D6A">
      <w:pPr>
        <w:spacing w:line="360" w:lineRule="auto"/>
        <w:jc w:val="both"/>
        <w:rPr>
          <w:rFonts w:ascii="Arial" w:hAnsi="Arial" w:cs="Arial"/>
          <w:sz w:val="22"/>
          <w:szCs w:val="22"/>
        </w:rPr>
      </w:pPr>
      <w:r w:rsidRPr="00780D6A">
        <w:rPr>
          <w:rFonts w:ascii="Arial" w:hAnsi="Arial" w:cs="Arial"/>
          <w:sz w:val="22"/>
          <w:szCs w:val="22"/>
        </w:rPr>
        <w:t>Artículo 6° - La Secretaría de Salud del Gobierno de la Ciudad Autónoma de Buenos Aires adoptará las medidas necesarias para lograr la cobertura del cien por ciento (100 %) de la demanda en el caso de la Gammaglobulina y de los elementos necesarios para su aplicación.</w:t>
      </w:r>
    </w:p>
    <w:p w:rsidR="00780D6A" w:rsidRDefault="00780D6A" w:rsidP="00780D6A">
      <w:pPr>
        <w:spacing w:line="360" w:lineRule="auto"/>
        <w:jc w:val="both"/>
        <w:rPr>
          <w:rFonts w:ascii="Arial" w:hAnsi="Arial" w:cs="Arial"/>
          <w:sz w:val="22"/>
          <w:szCs w:val="22"/>
        </w:rPr>
      </w:pPr>
    </w:p>
    <w:p w:rsidR="00C07C9D" w:rsidRPr="00780D6A" w:rsidRDefault="00C07C9D" w:rsidP="00780D6A">
      <w:pPr>
        <w:spacing w:line="360" w:lineRule="auto"/>
        <w:jc w:val="both"/>
        <w:rPr>
          <w:rFonts w:ascii="Arial" w:hAnsi="Arial" w:cs="Arial"/>
          <w:sz w:val="22"/>
          <w:szCs w:val="22"/>
        </w:rPr>
      </w:pPr>
      <w:r w:rsidRPr="00780D6A">
        <w:rPr>
          <w:rFonts w:ascii="Arial" w:hAnsi="Arial" w:cs="Arial"/>
          <w:sz w:val="22"/>
          <w:szCs w:val="22"/>
        </w:rPr>
        <w:t>Artículo 7° - Se constituirán comisiones médicas en el ámbito de la Secretaría de Salud del Gobierno de la Ciudad Autónoma de Buenos Aires para intervenir en cualquier controversia de la prevista en el artículo 5° de la presente Ley.</w:t>
      </w:r>
    </w:p>
    <w:p w:rsidR="00780D6A" w:rsidRDefault="00780D6A" w:rsidP="00780D6A">
      <w:pPr>
        <w:spacing w:line="360" w:lineRule="auto"/>
        <w:jc w:val="both"/>
        <w:rPr>
          <w:rFonts w:ascii="Arial" w:hAnsi="Arial" w:cs="Arial"/>
          <w:sz w:val="22"/>
          <w:szCs w:val="22"/>
        </w:rPr>
      </w:pPr>
    </w:p>
    <w:p w:rsidR="002F06EB" w:rsidRPr="00780D6A" w:rsidRDefault="00C07C9D" w:rsidP="00780D6A">
      <w:pPr>
        <w:spacing w:line="360" w:lineRule="auto"/>
        <w:jc w:val="both"/>
        <w:rPr>
          <w:rFonts w:ascii="Arial" w:hAnsi="Arial" w:cs="Arial"/>
          <w:sz w:val="22"/>
          <w:szCs w:val="22"/>
        </w:rPr>
      </w:pPr>
      <w:r w:rsidRPr="00780D6A">
        <w:rPr>
          <w:rFonts w:ascii="Arial" w:hAnsi="Arial" w:cs="Arial"/>
          <w:sz w:val="22"/>
          <w:szCs w:val="22"/>
        </w:rPr>
        <w:t>Artículo 8° -</w:t>
      </w:r>
      <w:r w:rsidRPr="00780D6A">
        <w:rPr>
          <w:rFonts w:ascii="Arial" w:hAnsi="Arial" w:cs="Arial"/>
          <w:b/>
          <w:sz w:val="22"/>
          <w:szCs w:val="22"/>
        </w:rPr>
        <w:t xml:space="preserve"> </w:t>
      </w:r>
      <w:r w:rsidRPr="00780D6A">
        <w:rPr>
          <w:rFonts w:ascii="Arial" w:hAnsi="Arial" w:cs="Arial"/>
          <w:sz w:val="22"/>
          <w:szCs w:val="22"/>
        </w:rPr>
        <w:t>El Poder Ejecutivo del Gobierno de la Ciudad Autónoma de Buenos Aires reglamentará la presente Ley dentro de los ciento veinte (120) días posteriores a la promulgación.</w:t>
      </w:r>
      <w:r w:rsidR="00780D6A" w:rsidRPr="00780D6A">
        <w:rPr>
          <w:rFonts w:ascii="Arial" w:hAnsi="Arial" w:cs="Arial"/>
          <w:sz w:val="22"/>
          <w:szCs w:val="22"/>
        </w:rPr>
        <w:t xml:space="preserve"> </w:t>
      </w:r>
    </w:p>
    <w:p w:rsidR="0009329B" w:rsidRDefault="0009329B" w:rsidP="00780D6A">
      <w:pPr>
        <w:spacing w:line="360" w:lineRule="auto"/>
        <w:jc w:val="both"/>
        <w:rPr>
          <w:rFonts w:ascii="Arial" w:hAnsi="Arial" w:cs="Arial"/>
          <w:sz w:val="22"/>
          <w:szCs w:val="22"/>
        </w:rPr>
      </w:pPr>
    </w:p>
    <w:p w:rsidR="003B2A81" w:rsidRPr="00780D6A" w:rsidRDefault="003B2A81" w:rsidP="00780D6A">
      <w:pPr>
        <w:spacing w:line="360" w:lineRule="auto"/>
        <w:jc w:val="both"/>
        <w:rPr>
          <w:rFonts w:ascii="Arial" w:hAnsi="Arial" w:cs="Arial"/>
          <w:sz w:val="22"/>
          <w:szCs w:val="22"/>
        </w:rPr>
      </w:pPr>
    </w:p>
    <w:tbl>
      <w:tblPr>
        <w:tblW w:w="0" w:type="auto"/>
        <w:jc w:val="center"/>
        <w:tblInd w:w="70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810"/>
        <w:gridCol w:w="5335"/>
      </w:tblGrid>
      <w:tr w:rsidR="0009329B" w:rsidRPr="00780D6A" w:rsidTr="003B2A81">
        <w:trPr>
          <w:trHeight w:val="954"/>
          <w:jc w:val="center"/>
        </w:trPr>
        <w:tc>
          <w:tcPr>
            <w:tcW w:w="9145" w:type="dxa"/>
            <w:gridSpan w:val="2"/>
          </w:tcPr>
          <w:p w:rsidR="0009329B" w:rsidRPr="00780D6A" w:rsidRDefault="0009329B" w:rsidP="003B2A81">
            <w:pPr>
              <w:pStyle w:val="Textosinformato"/>
              <w:spacing w:before="240" w:line="360" w:lineRule="auto"/>
              <w:jc w:val="center"/>
              <w:rPr>
                <w:rFonts w:ascii="Arial" w:hAnsi="Arial" w:cs="Arial"/>
                <w:sz w:val="22"/>
                <w:u w:val="single"/>
              </w:rPr>
            </w:pPr>
            <w:r w:rsidRPr="00780D6A">
              <w:rPr>
                <w:rFonts w:ascii="Arial" w:hAnsi="Arial" w:cs="Arial"/>
                <w:b/>
                <w:sz w:val="22"/>
                <w:szCs w:val="22"/>
              </w:rPr>
              <w:t>LEY</w:t>
            </w:r>
            <w:r w:rsidR="00EE2D4A" w:rsidRPr="00780D6A">
              <w:rPr>
                <w:rFonts w:ascii="Arial" w:hAnsi="Arial" w:cs="Arial"/>
                <w:b/>
                <w:sz w:val="22"/>
                <w:szCs w:val="22"/>
              </w:rPr>
              <w:t xml:space="preserve"> H</w:t>
            </w:r>
            <w:r w:rsidRPr="00780D6A">
              <w:rPr>
                <w:rFonts w:ascii="Arial" w:hAnsi="Arial" w:cs="Arial"/>
                <w:b/>
                <w:sz w:val="22"/>
                <w:szCs w:val="22"/>
              </w:rPr>
              <w:t xml:space="preserve"> - N° </w:t>
            </w:r>
            <w:r w:rsidR="00EE2D4A" w:rsidRPr="00780D6A">
              <w:rPr>
                <w:rFonts w:ascii="Arial" w:hAnsi="Arial" w:cs="Arial"/>
                <w:b/>
                <w:sz w:val="22"/>
                <w:szCs w:val="22"/>
              </w:rPr>
              <w:t>1</w:t>
            </w:r>
            <w:r w:rsidR="003B2A81">
              <w:rPr>
                <w:rFonts w:ascii="Arial" w:hAnsi="Arial" w:cs="Arial"/>
                <w:b/>
                <w:sz w:val="22"/>
                <w:szCs w:val="22"/>
              </w:rPr>
              <w:t>.</w:t>
            </w:r>
            <w:r w:rsidR="00EE2D4A" w:rsidRPr="00780D6A">
              <w:rPr>
                <w:rFonts w:ascii="Arial" w:hAnsi="Arial" w:cs="Arial"/>
                <w:b/>
                <w:sz w:val="22"/>
                <w:szCs w:val="22"/>
              </w:rPr>
              <w:t>416</w:t>
            </w:r>
          </w:p>
          <w:p w:rsidR="0009329B" w:rsidRPr="00780D6A" w:rsidRDefault="0009329B" w:rsidP="00780D6A">
            <w:pPr>
              <w:pStyle w:val="Textosinformato"/>
              <w:spacing w:line="360" w:lineRule="auto"/>
              <w:jc w:val="center"/>
              <w:rPr>
                <w:rFonts w:ascii="Arial" w:hAnsi="Arial" w:cs="Arial"/>
                <w:b/>
                <w:sz w:val="22"/>
                <w:u w:val="single"/>
              </w:rPr>
            </w:pPr>
            <w:r w:rsidRPr="00780D6A">
              <w:rPr>
                <w:rFonts w:ascii="Arial" w:hAnsi="Arial" w:cs="Arial"/>
                <w:b/>
                <w:sz w:val="22"/>
                <w:szCs w:val="22"/>
              </w:rPr>
              <w:t>TABLA DE ANTECEDENTES</w:t>
            </w:r>
          </w:p>
        </w:tc>
      </w:tr>
      <w:tr w:rsidR="0009329B" w:rsidRPr="00780D6A" w:rsidTr="003B2A81">
        <w:trPr>
          <w:trHeight w:val="591"/>
          <w:jc w:val="center"/>
        </w:trPr>
        <w:tc>
          <w:tcPr>
            <w:tcW w:w="3810" w:type="dxa"/>
            <w:vAlign w:val="center"/>
          </w:tcPr>
          <w:p w:rsidR="0009329B" w:rsidRPr="00780D6A" w:rsidRDefault="0009329B" w:rsidP="003B2A81">
            <w:pPr>
              <w:pStyle w:val="Textosinformato"/>
              <w:spacing w:line="360" w:lineRule="auto"/>
              <w:jc w:val="center"/>
              <w:rPr>
                <w:rFonts w:ascii="Arial" w:hAnsi="Arial" w:cs="Arial"/>
                <w:b/>
                <w:sz w:val="22"/>
              </w:rPr>
            </w:pPr>
            <w:r w:rsidRPr="00780D6A">
              <w:rPr>
                <w:rFonts w:ascii="Arial" w:hAnsi="Arial" w:cs="Arial"/>
                <w:b/>
                <w:sz w:val="22"/>
                <w:szCs w:val="22"/>
              </w:rPr>
              <w:t>Artículo del Texto</w:t>
            </w:r>
            <w:r w:rsidR="003B2A81">
              <w:rPr>
                <w:rFonts w:ascii="Arial" w:hAnsi="Arial" w:cs="Arial"/>
                <w:b/>
                <w:sz w:val="22"/>
              </w:rPr>
              <w:t xml:space="preserve"> </w:t>
            </w:r>
            <w:r w:rsidRPr="00780D6A">
              <w:rPr>
                <w:rFonts w:ascii="Arial" w:hAnsi="Arial" w:cs="Arial"/>
                <w:b/>
                <w:sz w:val="22"/>
                <w:szCs w:val="22"/>
              </w:rPr>
              <w:t>Definitivo</w:t>
            </w:r>
          </w:p>
        </w:tc>
        <w:tc>
          <w:tcPr>
            <w:tcW w:w="5335" w:type="dxa"/>
            <w:vAlign w:val="center"/>
          </w:tcPr>
          <w:p w:rsidR="0009329B" w:rsidRPr="00780D6A" w:rsidRDefault="0009329B" w:rsidP="006E17B9">
            <w:pPr>
              <w:pStyle w:val="Textosinformato"/>
              <w:spacing w:line="360" w:lineRule="auto"/>
              <w:jc w:val="center"/>
              <w:rPr>
                <w:rFonts w:ascii="Arial" w:hAnsi="Arial" w:cs="Arial"/>
                <w:b/>
                <w:sz w:val="22"/>
              </w:rPr>
            </w:pPr>
            <w:r w:rsidRPr="00780D6A">
              <w:rPr>
                <w:rFonts w:ascii="Arial" w:hAnsi="Arial" w:cs="Arial"/>
                <w:b/>
                <w:sz w:val="22"/>
                <w:szCs w:val="22"/>
              </w:rPr>
              <w:t>Fuente</w:t>
            </w:r>
          </w:p>
        </w:tc>
      </w:tr>
      <w:tr w:rsidR="0009329B" w:rsidRPr="00780D6A" w:rsidTr="003B2A81">
        <w:trPr>
          <w:trHeight w:val="555"/>
          <w:jc w:val="center"/>
        </w:trPr>
        <w:tc>
          <w:tcPr>
            <w:tcW w:w="9145" w:type="dxa"/>
            <w:gridSpan w:val="2"/>
          </w:tcPr>
          <w:p w:rsidR="0009329B" w:rsidRPr="00780D6A" w:rsidRDefault="00EE2D4A" w:rsidP="00780D6A">
            <w:pPr>
              <w:pStyle w:val="Textosinformato"/>
              <w:spacing w:line="360" w:lineRule="auto"/>
              <w:rPr>
                <w:rFonts w:ascii="Arial" w:hAnsi="Arial" w:cs="Arial"/>
                <w:sz w:val="22"/>
                <w:lang w:val="en-US"/>
              </w:rPr>
            </w:pPr>
            <w:r w:rsidRPr="00780D6A">
              <w:rPr>
                <w:rFonts w:ascii="Arial" w:hAnsi="Arial" w:cs="Arial"/>
                <w:sz w:val="22"/>
                <w:szCs w:val="22"/>
                <w:lang w:val="en-US"/>
              </w:rPr>
              <w:t>1                                                              Ley N° 3114, Art. 1°</w:t>
            </w:r>
          </w:p>
          <w:p w:rsidR="00EE2D4A" w:rsidRPr="00780D6A" w:rsidRDefault="00EE2D4A" w:rsidP="00780D6A">
            <w:pPr>
              <w:pStyle w:val="Textosinformato"/>
              <w:spacing w:line="360" w:lineRule="auto"/>
              <w:rPr>
                <w:rFonts w:ascii="Arial" w:hAnsi="Arial" w:cs="Arial"/>
                <w:sz w:val="22"/>
                <w:lang w:val="en-US"/>
              </w:rPr>
            </w:pPr>
            <w:r w:rsidRPr="00780D6A">
              <w:rPr>
                <w:rFonts w:ascii="Arial" w:hAnsi="Arial" w:cs="Arial"/>
                <w:sz w:val="22"/>
                <w:szCs w:val="22"/>
                <w:lang w:val="en-US"/>
              </w:rPr>
              <w:t>2                                                              Ley N° 3114, Art. 2°</w:t>
            </w:r>
          </w:p>
          <w:p w:rsidR="001A56B7" w:rsidRPr="00780D6A" w:rsidRDefault="00EE2D4A" w:rsidP="00780D6A">
            <w:pPr>
              <w:pStyle w:val="Textosinformato"/>
              <w:spacing w:line="360" w:lineRule="auto"/>
              <w:rPr>
                <w:rFonts w:ascii="Arial" w:hAnsi="Arial" w:cs="Arial"/>
                <w:sz w:val="22"/>
                <w:lang w:val="es-AR"/>
              </w:rPr>
            </w:pPr>
            <w:r w:rsidRPr="00780D6A">
              <w:rPr>
                <w:rFonts w:ascii="Arial" w:hAnsi="Arial" w:cs="Arial"/>
                <w:sz w:val="22"/>
                <w:szCs w:val="22"/>
                <w:lang w:val="es-AR"/>
              </w:rPr>
              <w:t xml:space="preserve">3                               </w:t>
            </w:r>
            <w:r w:rsidR="001A56B7" w:rsidRPr="00780D6A">
              <w:rPr>
                <w:rFonts w:ascii="Arial" w:hAnsi="Arial" w:cs="Arial"/>
                <w:sz w:val="22"/>
                <w:szCs w:val="22"/>
                <w:lang w:val="es-AR"/>
              </w:rPr>
              <w:t xml:space="preserve">                               Texto Original         </w:t>
            </w:r>
            <w:r w:rsidRPr="00780D6A">
              <w:rPr>
                <w:rFonts w:ascii="Arial" w:hAnsi="Arial" w:cs="Arial"/>
                <w:sz w:val="22"/>
                <w:szCs w:val="22"/>
                <w:lang w:val="es-AR"/>
              </w:rPr>
              <w:t xml:space="preserve">  </w:t>
            </w:r>
          </w:p>
          <w:p w:rsidR="001A56B7" w:rsidRPr="00780D6A" w:rsidRDefault="001A56B7" w:rsidP="00780D6A">
            <w:pPr>
              <w:pStyle w:val="Textosinformato"/>
              <w:spacing w:line="360" w:lineRule="auto"/>
              <w:rPr>
                <w:rFonts w:ascii="Arial" w:hAnsi="Arial" w:cs="Arial"/>
                <w:sz w:val="22"/>
                <w:lang w:val="es-AR"/>
              </w:rPr>
            </w:pPr>
            <w:r w:rsidRPr="00780D6A">
              <w:rPr>
                <w:rFonts w:ascii="Arial" w:hAnsi="Arial" w:cs="Arial"/>
                <w:sz w:val="22"/>
                <w:szCs w:val="22"/>
                <w:lang w:val="es-AR"/>
              </w:rPr>
              <w:t>4                                                              Ley N° 3</w:t>
            </w:r>
            <w:r w:rsidR="00F21D59" w:rsidRPr="00780D6A">
              <w:rPr>
                <w:rFonts w:ascii="Arial" w:hAnsi="Arial" w:cs="Arial"/>
                <w:sz w:val="22"/>
                <w:szCs w:val="22"/>
                <w:lang w:val="es-AR"/>
              </w:rPr>
              <w:t>114</w:t>
            </w:r>
            <w:r w:rsidRPr="00780D6A">
              <w:rPr>
                <w:rFonts w:ascii="Arial" w:hAnsi="Arial" w:cs="Arial"/>
                <w:sz w:val="22"/>
                <w:szCs w:val="22"/>
                <w:lang w:val="es-AR"/>
              </w:rPr>
              <w:t>, Art.3°</w:t>
            </w:r>
            <w:r w:rsidR="00EE2D4A" w:rsidRPr="00780D6A">
              <w:rPr>
                <w:rFonts w:ascii="Arial" w:hAnsi="Arial" w:cs="Arial"/>
                <w:sz w:val="22"/>
                <w:szCs w:val="22"/>
                <w:lang w:val="es-AR"/>
              </w:rPr>
              <w:t xml:space="preserve">   </w:t>
            </w:r>
          </w:p>
          <w:p w:rsidR="00EE2D4A" w:rsidRPr="00780D6A" w:rsidRDefault="001A56B7" w:rsidP="00780D6A">
            <w:pPr>
              <w:pStyle w:val="Textosinformato"/>
              <w:spacing w:line="360" w:lineRule="auto"/>
              <w:rPr>
                <w:rFonts w:ascii="Arial" w:hAnsi="Arial" w:cs="Arial"/>
                <w:sz w:val="22"/>
                <w:lang w:val="es-AR"/>
              </w:rPr>
            </w:pPr>
            <w:r w:rsidRPr="00780D6A">
              <w:rPr>
                <w:rFonts w:ascii="Arial" w:hAnsi="Arial" w:cs="Arial"/>
                <w:sz w:val="22"/>
                <w:szCs w:val="22"/>
                <w:lang w:val="es-AR"/>
              </w:rPr>
              <w:t xml:space="preserve">5/8                                      </w:t>
            </w:r>
            <w:r w:rsidR="00EE2D4A" w:rsidRPr="00780D6A">
              <w:rPr>
                <w:rFonts w:ascii="Arial" w:hAnsi="Arial" w:cs="Arial"/>
                <w:sz w:val="22"/>
                <w:szCs w:val="22"/>
                <w:lang w:val="es-AR"/>
              </w:rPr>
              <w:t xml:space="preserve">                  </w:t>
            </w:r>
            <w:r w:rsidRPr="00780D6A">
              <w:rPr>
                <w:rFonts w:ascii="Arial" w:hAnsi="Arial" w:cs="Arial"/>
                <w:sz w:val="22"/>
                <w:szCs w:val="22"/>
                <w:lang w:val="es-AR"/>
              </w:rPr>
              <w:t xml:space="preserve">   </w:t>
            </w:r>
            <w:r w:rsidRPr="00780D6A">
              <w:rPr>
                <w:rFonts w:ascii="Arial" w:hAnsi="Arial" w:cs="Arial"/>
                <w:sz w:val="22"/>
                <w:szCs w:val="22"/>
                <w:lang w:val="en-US"/>
              </w:rPr>
              <w:t xml:space="preserve">Texto Original  </w:t>
            </w:r>
          </w:p>
        </w:tc>
      </w:tr>
    </w:tbl>
    <w:p w:rsidR="0009329B" w:rsidRDefault="0009329B" w:rsidP="00780D6A">
      <w:pPr>
        <w:spacing w:line="360" w:lineRule="auto"/>
        <w:rPr>
          <w:rFonts w:ascii="Arial" w:hAnsi="Arial" w:cs="Arial"/>
          <w:b/>
          <w:sz w:val="22"/>
          <w:szCs w:val="22"/>
          <w:lang w:val="es-AR"/>
        </w:rPr>
      </w:pPr>
    </w:p>
    <w:p w:rsidR="003B2A81" w:rsidRDefault="003B2A81" w:rsidP="00780D6A">
      <w:pPr>
        <w:spacing w:line="360" w:lineRule="auto"/>
        <w:rPr>
          <w:rFonts w:ascii="Arial" w:hAnsi="Arial" w:cs="Arial"/>
          <w:b/>
          <w:sz w:val="22"/>
          <w:szCs w:val="22"/>
          <w:lang w:val="es-AR"/>
        </w:rPr>
      </w:pPr>
    </w:p>
    <w:p w:rsidR="003B2A81" w:rsidRDefault="003B2A81" w:rsidP="00780D6A">
      <w:pPr>
        <w:spacing w:line="360" w:lineRule="auto"/>
        <w:rPr>
          <w:rFonts w:ascii="Arial" w:hAnsi="Arial" w:cs="Arial"/>
          <w:b/>
          <w:sz w:val="22"/>
          <w:szCs w:val="22"/>
          <w:lang w:val="es-AR"/>
        </w:rPr>
      </w:pPr>
    </w:p>
    <w:p w:rsidR="003B2A81" w:rsidRPr="00780D6A" w:rsidRDefault="003B2A81" w:rsidP="00780D6A">
      <w:pPr>
        <w:spacing w:line="360" w:lineRule="auto"/>
        <w:rPr>
          <w:rFonts w:ascii="Arial" w:hAnsi="Arial" w:cs="Arial"/>
          <w:b/>
          <w:sz w:val="22"/>
          <w:szCs w:val="22"/>
          <w:lang w:val="es-AR"/>
        </w:rPr>
      </w:pPr>
    </w:p>
    <w:tbl>
      <w:tblPr>
        <w:tblW w:w="0" w:type="auto"/>
        <w:jc w:val="center"/>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782"/>
        <w:gridCol w:w="3827"/>
        <w:gridCol w:w="2463"/>
      </w:tblGrid>
      <w:tr w:rsidR="0009329B" w:rsidRPr="00780D6A" w:rsidTr="003B2A81">
        <w:trPr>
          <w:jc w:val="center"/>
        </w:trPr>
        <w:tc>
          <w:tcPr>
            <w:tcW w:w="9072" w:type="dxa"/>
            <w:gridSpan w:val="3"/>
            <w:vAlign w:val="center"/>
          </w:tcPr>
          <w:p w:rsidR="00780D6A" w:rsidRDefault="0009329B" w:rsidP="0099032C">
            <w:pPr>
              <w:pStyle w:val="Textosinformato"/>
              <w:spacing w:before="240" w:line="360" w:lineRule="auto"/>
              <w:jc w:val="center"/>
              <w:rPr>
                <w:rFonts w:ascii="Arial" w:hAnsi="Arial" w:cs="Arial"/>
                <w:b/>
                <w:sz w:val="22"/>
              </w:rPr>
            </w:pPr>
            <w:r w:rsidRPr="00780D6A">
              <w:rPr>
                <w:rFonts w:ascii="Arial" w:hAnsi="Arial" w:cs="Arial"/>
                <w:b/>
                <w:sz w:val="22"/>
                <w:szCs w:val="22"/>
              </w:rPr>
              <w:lastRenderedPageBreak/>
              <w:t xml:space="preserve">LEY </w:t>
            </w:r>
            <w:r w:rsidR="001A56B7" w:rsidRPr="00780D6A">
              <w:rPr>
                <w:rFonts w:ascii="Arial" w:hAnsi="Arial" w:cs="Arial"/>
                <w:b/>
                <w:sz w:val="22"/>
                <w:szCs w:val="22"/>
              </w:rPr>
              <w:t>H</w:t>
            </w:r>
            <w:r w:rsidR="003F1762" w:rsidRPr="00780D6A">
              <w:rPr>
                <w:rFonts w:ascii="Arial" w:hAnsi="Arial" w:cs="Arial"/>
                <w:b/>
                <w:sz w:val="22"/>
                <w:szCs w:val="22"/>
              </w:rPr>
              <w:t xml:space="preserve"> </w:t>
            </w:r>
            <w:r w:rsidRPr="00780D6A">
              <w:rPr>
                <w:rFonts w:ascii="Arial" w:hAnsi="Arial" w:cs="Arial"/>
                <w:b/>
                <w:sz w:val="22"/>
                <w:szCs w:val="22"/>
              </w:rPr>
              <w:t xml:space="preserve">- N° </w:t>
            </w:r>
            <w:r w:rsidR="001A56B7" w:rsidRPr="00780D6A">
              <w:rPr>
                <w:rFonts w:ascii="Arial" w:hAnsi="Arial" w:cs="Arial"/>
                <w:b/>
                <w:sz w:val="22"/>
                <w:szCs w:val="22"/>
              </w:rPr>
              <w:t>1</w:t>
            </w:r>
            <w:r w:rsidR="003B2A81">
              <w:rPr>
                <w:rFonts w:ascii="Arial" w:hAnsi="Arial" w:cs="Arial"/>
                <w:b/>
                <w:sz w:val="22"/>
                <w:szCs w:val="22"/>
              </w:rPr>
              <w:t>.</w:t>
            </w:r>
            <w:r w:rsidR="001A56B7" w:rsidRPr="00780D6A">
              <w:rPr>
                <w:rFonts w:ascii="Arial" w:hAnsi="Arial" w:cs="Arial"/>
                <w:b/>
                <w:sz w:val="22"/>
                <w:szCs w:val="22"/>
              </w:rPr>
              <w:t>416</w:t>
            </w:r>
          </w:p>
          <w:p w:rsidR="0009329B" w:rsidRPr="00780D6A" w:rsidRDefault="0009329B" w:rsidP="0099032C">
            <w:pPr>
              <w:pStyle w:val="Textosinformato"/>
              <w:spacing w:line="360" w:lineRule="auto"/>
              <w:jc w:val="center"/>
              <w:rPr>
                <w:rFonts w:ascii="Arial" w:hAnsi="Arial" w:cs="Arial"/>
                <w:sz w:val="22"/>
              </w:rPr>
            </w:pPr>
            <w:r w:rsidRPr="00780D6A">
              <w:rPr>
                <w:rFonts w:ascii="Arial" w:hAnsi="Arial" w:cs="Arial"/>
                <w:b/>
                <w:sz w:val="22"/>
                <w:szCs w:val="22"/>
              </w:rPr>
              <w:t>TABLA DE EQUIVALENCIAS</w:t>
            </w:r>
          </w:p>
        </w:tc>
      </w:tr>
      <w:tr w:rsidR="0009329B" w:rsidRPr="00780D6A" w:rsidTr="003B2A81">
        <w:trPr>
          <w:jc w:val="center"/>
        </w:trPr>
        <w:tc>
          <w:tcPr>
            <w:tcW w:w="2782" w:type="dxa"/>
            <w:vAlign w:val="center"/>
          </w:tcPr>
          <w:p w:rsidR="0009329B" w:rsidRPr="00780D6A" w:rsidRDefault="0009329B" w:rsidP="006E17B9">
            <w:pPr>
              <w:spacing w:line="360" w:lineRule="auto"/>
              <w:jc w:val="center"/>
              <w:rPr>
                <w:rFonts w:ascii="Arial" w:hAnsi="Arial" w:cs="Arial"/>
                <w:b/>
              </w:rPr>
            </w:pPr>
            <w:r w:rsidRPr="00780D6A">
              <w:rPr>
                <w:rFonts w:ascii="Arial" w:hAnsi="Arial" w:cs="Arial"/>
                <w:b/>
                <w:sz w:val="22"/>
                <w:szCs w:val="22"/>
              </w:rPr>
              <w:t>Número de artículo</w:t>
            </w:r>
          </w:p>
          <w:p w:rsidR="0009329B" w:rsidRPr="00780D6A" w:rsidRDefault="0009329B" w:rsidP="006E17B9">
            <w:pPr>
              <w:spacing w:line="360" w:lineRule="auto"/>
              <w:jc w:val="center"/>
              <w:rPr>
                <w:rFonts w:ascii="Arial" w:hAnsi="Arial" w:cs="Arial"/>
                <w:b/>
              </w:rPr>
            </w:pPr>
            <w:r w:rsidRPr="00780D6A">
              <w:rPr>
                <w:rFonts w:ascii="Arial" w:hAnsi="Arial" w:cs="Arial"/>
                <w:b/>
                <w:sz w:val="22"/>
                <w:szCs w:val="22"/>
              </w:rPr>
              <w:t>del Texto Definitivo</w:t>
            </w:r>
          </w:p>
        </w:tc>
        <w:tc>
          <w:tcPr>
            <w:tcW w:w="3827" w:type="dxa"/>
            <w:vAlign w:val="center"/>
          </w:tcPr>
          <w:p w:rsidR="0009329B" w:rsidRPr="00780D6A" w:rsidRDefault="0009329B" w:rsidP="003B2A81">
            <w:pPr>
              <w:spacing w:line="360" w:lineRule="auto"/>
              <w:jc w:val="center"/>
              <w:rPr>
                <w:rFonts w:ascii="Arial" w:hAnsi="Arial" w:cs="Arial"/>
                <w:b/>
              </w:rPr>
            </w:pPr>
            <w:r w:rsidRPr="00780D6A">
              <w:rPr>
                <w:rFonts w:ascii="Arial" w:hAnsi="Arial" w:cs="Arial"/>
                <w:b/>
                <w:sz w:val="22"/>
                <w:szCs w:val="22"/>
              </w:rPr>
              <w:t>Número de artículo</w:t>
            </w:r>
            <w:r w:rsidR="003B2A81">
              <w:rPr>
                <w:rFonts w:ascii="Arial" w:hAnsi="Arial" w:cs="Arial"/>
                <w:b/>
              </w:rPr>
              <w:t xml:space="preserve"> </w:t>
            </w:r>
            <w:r w:rsidRPr="00780D6A">
              <w:rPr>
                <w:rFonts w:ascii="Arial" w:hAnsi="Arial" w:cs="Arial"/>
                <w:b/>
                <w:sz w:val="22"/>
                <w:szCs w:val="22"/>
              </w:rPr>
              <w:t>del Texto de Referencia (Ley</w:t>
            </w:r>
            <w:r w:rsidR="003F1762" w:rsidRPr="00780D6A">
              <w:rPr>
                <w:rFonts w:ascii="Arial" w:hAnsi="Arial" w:cs="Arial"/>
                <w:b/>
                <w:sz w:val="22"/>
                <w:szCs w:val="22"/>
              </w:rPr>
              <w:t xml:space="preserve"> </w:t>
            </w:r>
            <w:r w:rsidR="001A56B7" w:rsidRPr="00780D6A">
              <w:rPr>
                <w:rFonts w:ascii="Arial" w:hAnsi="Arial" w:cs="Arial"/>
                <w:b/>
                <w:sz w:val="22"/>
                <w:szCs w:val="22"/>
              </w:rPr>
              <w:t>1</w:t>
            </w:r>
            <w:r w:rsidR="003B2A81">
              <w:rPr>
                <w:rFonts w:ascii="Arial" w:hAnsi="Arial" w:cs="Arial"/>
                <w:b/>
                <w:sz w:val="22"/>
                <w:szCs w:val="22"/>
              </w:rPr>
              <w:t>.</w:t>
            </w:r>
            <w:r w:rsidR="001A56B7" w:rsidRPr="00780D6A">
              <w:rPr>
                <w:rFonts w:ascii="Arial" w:hAnsi="Arial" w:cs="Arial"/>
                <w:b/>
                <w:sz w:val="22"/>
                <w:szCs w:val="22"/>
              </w:rPr>
              <w:t>416</w:t>
            </w:r>
            <w:r w:rsidRPr="00780D6A">
              <w:rPr>
                <w:rFonts w:ascii="Arial" w:hAnsi="Arial" w:cs="Arial"/>
                <w:b/>
                <w:sz w:val="22"/>
                <w:szCs w:val="22"/>
              </w:rPr>
              <w:t>)</w:t>
            </w:r>
          </w:p>
        </w:tc>
        <w:tc>
          <w:tcPr>
            <w:tcW w:w="2463" w:type="dxa"/>
            <w:vAlign w:val="center"/>
          </w:tcPr>
          <w:p w:rsidR="0009329B" w:rsidRPr="00780D6A" w:rsidRDefault="0009329B" w:rsidP="006E17B9">
            <w:pPr>
              <w:spacing w:line="360" w:lineRule="auto"/>
              <w:jc w:val="center"/>
              <w:rPr>
                <w:rFonts w:ascii="Arial" w:hAnsi="Arial" w:cs="Arial"/>
                <w:b/>
              </w:rPr>
            </w:pPr>
            <w:r w:rsidRPr="00780D6A">
              <w:rPr>
                <w:rFonts w:ascii="Arial" w:hAnsi="Arial" w:cs="Arial"/>
                <w:b/>
                <w:sz w:val="22"/>
                <w:szCs w:val="22"/>
              </w:rPr>
              <w:t>Observaciones</w:t>
            </w:r>
          </w:p>
        </w:tc>
      </w:tr>
      <w:tr w:rsidR="0009329B" w:rsidRPr="00780D6A" w:rsidTr="003B2A81">
        <w:trPr>
          <w:jc w:val="center"/>
        </w:trPr>
        <w:tc>
          <w:tcPr>
            <w:tcW w:w="9072" w:type="dxa"/>
            <w:gridSpan w:val="3"/>
            <w:vAlign w:val="center"/>
          </w:tcPr>
          <w:p w:rsidR="0009329B" w:rsidRPr="00780D6A" w:rsidRDefault="0009329B" w:rsidP="006E17B9">
            <w:pPr>
              <w:spacing w:line="360" w:lineRule="auto"/>
              <w:jc w:val="center"/>
              <w:rPr>
                <w:rFonts w:ascii="Arial" w:hAnsi="Arial" w:cs="Arial"/>
              </w:rPr>
            </w:pPr>
            <w:r w:rsidRPr="00780D6A">
              <w:rPr>
                <w:rFonts w:ascii="Arial" w:hAnsi="Arial" w:cs="Arial"/>
                <w:sz w:val="22"/>
                <w:szCs w:val="22"/>
              </w:rPr>
              <w:t>La numeración de los artículos del Texto Definitivo corresponde a la numeración original de la Ley</w:t>
            </w:r>
            <w:r w:rsidR="003F1762" w:rsidRPr="00780D6A">
              <w:rPr>
                <w:rFonts w:ascii="Arial" w:hAnsi="Arial" w:cs="Arial"/>
                <w:sz w:val="22"/>
                <w:szCs w:val="22"/>
              </w:rPr>
              <w:t xml:space="preserve"> </w:t>
            </w:r>
            <w:r w:rsidR="001A56B7" w:rsidRPr="00780D6A">
              <w:rPr>
                <w:rFonts w:ascii="Arial" w:hAnsi="Arial" w:cs="Arial"/>
                <w:sz w:val="22"/>
                <w:szCs w:val="22"/>
              </w:rPr>
              <w:t>N° 1</w:t>
            </w:r>
            <w:r w:rsidR="003B2A81">
              <w:rPr>
                <w:rFonts w:ascii="Arial" w:hAnsi="Arial" w:cs="Arial"/>
                <w:sz w:val="22"/>
                <w:szCs w:val="22"/>
              </w:rPr>
              <w:t>.</w:t>
            </w:r>
            <w:r w:rsidR="001A56B7" w:rsidRPr="00780D6A">
              <w:rPr>
                <w:rFonts w:ascii="Arial" w:hAnsi="Arial" w:cs="Arial"/>
                <w:sz w:val="22"/>
                <w:szCs w:val="22"/>
              </w:rPr>
              <w:t>416</w:t>
            </w:r>
            <w:r w:rsidRPr="00780D6A">
              <w:rPr>
                <w:rFonts w:ascii="Arial" w:hAnsi="Arial" w:cs="Arial"/>
                <w:sz w:val="22"/>
                <w:szCs w:val="22"/>
              </w:rPr>
              <w:t>.</w:t>
            </w:r>
          </w:p>
        </w:tc>
      </w:tr>
    </w:tbl>
    <w:p w:rsidR="00356505" w:rsidRPr="00780D6A" w:rsidRDefault="00356505" w:rsidP="00780D6A">
      <w:pPr>
        <w:spacing w:line="360" w:lineRule="auto"/>
        <w:rPr>
          <w:rFonts w:ascii="Arial" w:hAnsi="Arial" w:cs="Arial"/>
          <w:b/>
          <w:sz w:val="22"/>
          <w:szCs w:val="22"/>
          <w:u w:val="single"/>
        </w:rPr>
      </w:pPr>
    </w:p>
    <w:p w:rsidR="00F914CB" w:rsidRPr="00780D6A" w:rsidRDefault="00F914CB" w:rsidP="00780D6A">
      <w:pPr>
        <w:spacing w:line="360" w:lineRule="auto"/>
        <w:rPr>
          <w:rFonts w:ascii="Arial" w:hAnsi="Arial" w:cs="Arial"/>
          <w:b/>
          <w:sz w:val="22"/>
          <w:szCs w:val="22"/>
          <w:u w:val="single"/>
        </w:rPr>
      </w:pPr>
      <w:r w:rsidRPr="00780D6A">
        <w:rPr>
          <w:rFonts w:ascii="Arial" w:hAnsi="Arial" w:cs="Arial"/>
          <w:b/>
          <w:sz w:val="22"/>
          <w:szCs w:val="22"/>
          <w:u w:val="single"/>
        </w:rPr>
        <w:t>Observaciones Generales:</w:t>
      </w:r>
    </w:p>
    <w:p w:rsidR="0009329B" w:rsidRPr="00780D6A" w:rsidRDefault="001A56B7" w:rsidP="003B2A81">
      <w:pPr>
        <w:spacing w:line="360" w:lineRule="auto"/>
        <w:jc w:val="both"/>
        <w:rPr>
          <w:rFonts w:ascii="Arial" w:hAnsi="Arial" w:cs="Arial"/>
          <w:sz w:val="22"/>
          <w:szCs w:val="22"/>
        </w:rPr>
      </w:pPr>
      <w:r w:rsidRPr="00780D6A">
        <w:rPr>
          <w:rFonts w:ascii="Arial" w:hAnsi="Arial" w:cs="Arial"/>
          <w:sz w:val="22"/>
          <w:szCs w:val="22"/>
        </w:rPr>
        <w:t>Se deja constancia que las referencias al/los organismos consignados se refieren al/los mencionados en las normas, o a aquellos que actualmente los hubieren sustituido en las atribuciones y funciones previstas en la presente.</w:t>
      </w:r>
    </w:p>
    <w:sectPr w:rsidR="0009329B" w:rsidRPr="00780D6A" w:rsidSect="00780D6A">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605B3"/>
    <w:rsid w:val="0009329B"/>
    <w:rsid w:val="000C4AFC"/>
    <w:rsid w:val="000D13E0"/>
    <w:rsid w:val="000D2BAC"/>
    <w:rsid w:val="001A56B7"/>
    <w:rsid w:val="002D2DC8"/>
    <w:rsid w:val="002F06EB"/>
    <w:rsid w:val="00356505"/>
    <w:rsid w:val="003B2A81"/>
    <w:rsid w:val="003F1762"/>
    <w:rsid w:val="004A7641"/>
    <w:rsid w:val="00596CE1"/>
    <w:rsid w:val="005A4669"/>
    <w:rsid w:val="006506AC"/>
    <w:rsid w:val="00696EB1"/>
    <w:rsid w:val="006E17B9"/>
    <w:rsid w:val="006F6B15"/>
    <w:rsid w:val="00780D6A"/>
    <w:rsid w:val="008E3EF3"/>
    <w:rsid w:val="00937D6B"/>
    <w:rsid w:val="009724AD"/>
    <w:rsid w:val="0099032C"/>
    <w:rsid w:val="00B62CC2"/>
    <w:rsid w:val="00C07C9D"/>
    <w:rsid w:val="00C36E40"/>
    <w:rsid w:val="00C67C06"/>
    <w:rsid w:val="00C8756B"/>
    <w:rsid w:val="00EE2D4A"/>
    <w:rsid w:val="00F21D59"/>
    <w:rsid w:val="00F76F73"/>
    <w:rsid w:val="00F914CB"/>
    <w:rsid w:val="00FA013D"/>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qFormat/>
    <w:rsid w:val="00356505"/>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customStyle="1" w:styleId="Ttulo2Car">
    <w:name w:val="Título 2 Car"/>
    <w:basedOn w:val="Fuentedeprrafopredeter"/>
    <w:link w:val="Ttulo2"/>
    <w:rsid w:val="00356505"/>
    <w:rPr>
      <w:rFonts w:ascii="Arial" w:eastAsia="Times New Roman" w:hAnsi="Arial" w:cs="Arial"/>
      <w:b/>
      <w:bCs/>
      <w:i/>
      <w:iCs/>
      <w:sz w:val="28"/>
      <w:szCs w:val="28"/>
      <w:lang w:val="es-ES" w:eastAsia="es-ES"/>
    </w:rPr>
  </w:style>
  <w:style w:type="table" w:styleId="Tablaconcuadrcula">
    <w:name w:val="Table Grid"/>
    <w:basedOn w:val="Tablanormal"/>
    <w:rsid w:val="0035650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821B4-9D05-4E1B-8C96-35622907B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793</Words>
  <Characters>4362</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dcterms:created xsi:type="dcterms:W3CDTF">2014-09-09T18:30:00Z</dcterms:created>
  <dcterms:modified xsi:type="dcterms:W3CDTF">2015-10-02T21:47:00Z</dcterms:modified>
</cp:coreProperties>
</file>