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Default="00BB13AE" w:rsidP="00AF1A95">
      <w:pPr>
        <w:spacing w:line="360" w:lineRule="auto"/>
        <w:rPr>
          <w:rFonts w:ascii="Arial" w:hAnsi="Arial" w:cs="Arial"/>
          <w:b/>
          <w:sz w:val="22"/>
          <w:szCs w:val="22"/>
        </w:rPr>
      </w:pPr>
      <w:r w:rsidRPr="00AF1A95">
        <w:rPr>
          <w:rFonts w:ascii="Arial" w:hAnsi="Arial" w:cs="Arial"/>
          <w:b/>
          <w:sz w:val="22"/>
          <w:szCs w:val="22"/>
        </w:rPr>
        <w:t>2004-07-0033</w:t>
      </w:r>
    </w:p>
    <w:p w:rsidR="00887F2C" w:rsidRPr="00AF1A95" w:rsidRDefault="00887F2C" w:rsidP="00AF1A95">
      <w:pPr>
        <w:spacing w:line="360" w:lineRule="auto"/>
        <w:rPr>
          <w:rFonts w:ascii="Arial" w:hAnsi="Arial" w:cs="Arial"/>
          <w:b/>
          <w:sz w:val="22"/>
          <w:szCs w:val="22"/>
        </w:rPr>
      </w:pPr>
    </w:p>
    <w:p w:rsidR="00AF1A95" w:rsidRDefault="00887F2C" w:rsidP="00887F2C">
      <w:pPr>
        <w:spacing w:line="360" w:lineRule="auto"/>
        <w:jc w:val="center"/>
        <w:rPr>
          <w:rFonts w:ascii="Arial" w:hAnsi="Arial" w:cs="Arial"/>
          <w:b/>
          <w:sz w:val="22"/>
          <w:szCs w:val="22"/>
        </w:rPr>
      </w:pPr>
      <w:r w:rsidRPr="00887F2C">
        <w:rPr>
          <w:rFonts w:ascii="Arial" w:hAnsi="Arial" w:cs="Arial"/>
          <w:b/>
          <w:sz w:val="22"/>
          <w:szCs w:val="22"/>
        </w:rPr>
        <w:t>LEY G - N° 1.348</w:t>
      </w:r>
    </w:p>
    <w:p w:rsidR="00887F2C" w:rsidRPr="00887F2C" w:rsidRDefault="00887F2C" w:rsidP="00887F2C">
      <w:pPr>
        <w:spacing w:line="360" w:lineRule="auto"/>
        <w:jc w:val="center"/>
        <w:rPr>
          <w:rFonts w:ascii="Arial" w:hAnsi="Arial" w:cs="Arial"/>
          <w:b/>
          <w:sz w:val="22"/>
          <w:szCs w:val="22"/>
        </w:rPr>
      </w:pPr>
    </w:p>
    <w:p w:rsidR="00AF1A95" w:rsidRDefault="00BB13AE" w:rsidP="00AF1A95">
      <w:pPr>
        <w:spacing w:line="360" w:lineRule="auto"/>
        <w:jc w:val="both"/>
        <w:rPr>
          <w:rFonts w:ascii="Arial" w:hAnsi="Arial" w:cs="Arial"/>
          <w:sz w:val="22"/>
          <w:szCs w:val="22"/>
        </w:rPr>
      </w:pPr>
      <w:r w:rsidRPr="00AF1A95">
        <w:rPr>
          <w:rFonts w:ascii="Arial" w:hAnsi="Arial" w:cs="Arial"/>
          <w:sz w:val="22"/>
          <w:szCs w:val="22"/>
        </w:rPr>
        <w:t>Artículo 1º.</w:t>
      </w:r>
      <w:r w:rsidRPr="00AF1A95">
        <w:rPr>
          <w:rFonts w:ascii="Arial" w:hAnsi="Arial" w:cs="Arial"/>
          <w:i/>
          <w:sz w:val="22"/>
          <w:szCs w:val="22"/>
        </w:rPr>
        <w:t>-</w:t>
      </w:r>
      <w:r w:rsidRPr="00AF1A95">
        <w:rPr>
          <w:rFonts w:ascii="Arial" w:hAnsi="Arial" w:cs="Arial"/>
          <w:sz w:val="22"/>
          <w:szCs w:val="22"/>
        </w:rPr>
        <w:t>Institución de la muestra</w:t>
      </w:r>
      <w:r w:rsidRPr="00AF1A95">
        <w:rPr>
          <w:rFonts w:ascii="Arial" w:hAnsi="Arial" w:cs="Arial"/>
          <w:i/>
          <w:sz w:val="22"/>
          <w:szCs w:val="22"/>
        </w:rPr>
        <w:t>-</w:t>
      </w:r>
      <w:r w:rsidRPr="00AF1A95">
        <w:rPr>
          <w:rFonts w:ascii="Arial" w:hAnsi="Arial" w:cs="Arial"/>
          <w:sz w:val="22"/>
          <w:szCs w:val="22"/>
        </w:rPr>
        <w:t>. Se instituye una muestra de artesanía urbana, que se realizará cada dos años en nuestra ciudad, con la denominación de “Bienal de Artesanías de Buenos Aires”, con el objeto de jerarquizar la artesanía urbana como Patrimonio Cultural de la Ciudad.</w:t>
      </w:r>
    </w:p>
    <w:p w:rsidR="00AF1A95" w:rsidRDefault="00AF1A95" w:rsidP="00AF1A95">
      <w:pPr>
        <w:spacing w:line="360" w:lineRule="auto"/>
        <w:jc w:val="both"/>
        <w:rPr>
          <w:rFonts w:ascii="Arial" w:hAnsi="Arial" w:cs="Arial"/>
          <w:sz w:val="22"/>
          <w:szCs w:val="22"/>
        </w:rPr>
      </w:pPr>
    </w:p>
    <w:p w:rsidR="00BB13AE" w:rsidRPr="00AF1A95" w:rsidRDefault="00AF1A95" w:rsidP="00AF1A95">
      <w:pPr>
        <w:spacing w:line="360" w:lineRule="auto"/>
        <w:jc w:val="both"/>
        <w:rPr>
          <w:rFonts w:ascii="Arial" w:hAnsi="Arial" w:cs="Arial"/>
          <w:sz w:val="22"/>
          <w:szCs w:val="22"/>
        </w:rPr>
      </w:pPr>
      <w:r w:rsidRPr="00AF1A95">
        <w:rPr>
          <w:rFonts w:ascii="Arial" w:hAnsi="Arial" w:cs="Arial"/>
          <w:sz w:val="22"/>
          <w:szCs w:val="22"/>
        </w:rPr>
        <w:t xml:space="preserve"> </w:t>
      </w:r>
      <w:r w:rsidR="00BB13AE" w:rsidRPr="00AF1A95">
        <w:rPr>
          <w:rFonts w:ascii="Arial" w:hAnsi="Arial" w:cs="Arial"/>
          <w:sz w:val="22"/>
          <w:szCs w:val="22"/>
        </w:rPr>
        <w:t>Artículo 2º.</w:t>
      </w:r>
      <w:r w:rsidR="00BB13AE" w:rsidRPr="00AF1A95">
        <w:rPr>
          <w:rFonts w:ascii="Arial" w:hAnsi="Arial" w:cs="Arial"/>
          <w:i/>
          <w:sz w:val="22"/>
          <w:szCs w:val="22"/>
        </w:rPr>
        <w:t>-</w:t>
      </w:r>
      <w:r w:rsidR="00BB13AE" w:rsidRPr="00AF1A95">
        <w:rPr>
          <w:rFonts w:ascii="Arial" w:hAnsi="Arial" w:cs="Arial"/>
          <w:sz w:val="22"/>
          <w:szCs w:val="22"/>
        </w:rPr>
        <w:t>Premios adquisición</w:t>
      </w:r>
      <w:r w:rsidR="00BB13AE" w:rsidRPr="00AF1A95">
        <w:rPr>
          <w:rFonts w:ascii="Arial" w:hAnsi="Arial" w:cs="Arial"/>
          <w:i/>
          <w:sz w:val="22"/>
          <w:szCs w:val="22"/>
        </w:rPr>
        <w:t>-</w:t>
      </w:r>
      <w:r w:rsidR="00BB13AE" w:rsidRPr="00AF1A95">
        <w:rPr>
          <w:rFonts w:ascii="Arial" w:hAnsi="Arial" w:cs="Arial"/>
          <w:sz w:val="22"/>
          <w:szCs w:val="22"/>
        </w:rPr>
        <w:t>. Durante el desarrollo de la Bienal de Artesanías, se entregarán 7 (siete) Primeros Premios Adquisición, a las mejores piezas de artesanía presentadas al Concurso, con los cuales se conformará la “Colección de Artesanías de Buenos Aires”, la que se integrará al patrimonio del Museo de Arte Popular José Hernández.</w:t>
      </w:r>
    </w:p>
    <w:p w:rsidR="00AF1A95" w:rsidRDefault="00AF1A95" w:rsidP="00AF1A95">
      <w:pPr>
        <w:spacing w:line="360" w:lineRule="auto"/>
        <w:jc w:val="both"/>
        <w:rPr>
          <w:rFonts w:ascii="Arial" w:hAnsi="Arial" w:cs="Arial"/>
          <w:sz w:val="22"/>
          <w:szCs w:val="22"/>
        </w:rPr>
      </w:pPr>
    </w:p>
    <w:p w:rsidR="00BB13AE" w:rsidRPr="00AF1A95" w:rsidRDefault="00BB13AE" w:rsidP="00AF1A95">
      <w:pPr>
        <w:spacing w:line="360" w:lineRule="auto"/>
        <w:jc w:val="both"/>
        <w:rPr>
          <w:rFonts w:ascii="Arial" w:hAnsi="Arial" w:cs="Arial"/>
          <w:sz w:val="22"/>
          <w:szCs w:val="22"/>
        </w:rPr>
      </w:pPr>
      <w:r w:rsidRPr="00AF1A95">
        <w:rPr>
          <w:rFonts w:ascii="Arial" w:hAnsi="Arial" w:cs="Arial"/>
          <w:sz w:val="22"/>
          <w:szCs w:val="22"/>
        </w:rPr>
        <w:t>Artículo 3º.</w:t>
      </w:r>
      <w:r w:rsidRPr="00AF1A95">
        <w:rPr>
          <w:rFonts w:ascii="Arial" w:hAnsi="Arial" w:cs="Arial"/>
          <w:i/>
          <w:sz w:val="22"/>
          <w:szCs w:val="22"/>
        </w:rPr>
        <w:t>-</w:t>
      </w:r>
      <w:r w:rsidRPr="00AF1A95">
        <w:rPr>
          <w:rFonts w:ascii="Arial" w:hAnsi="Arial" w:cs="Arial"/>
          <w:sz w:val="22"/>
          <w:szCs w:val="22"/>
        </w:rPr>
        <w:t>Especialidades</w:t>
      </w:r>
      <w:r w:rsidRPr="00AF1A95">
        <w:rPr>
          <w:rFonts w:ascii="Arial" w:hAnsi="Arial" w:cs="Arial"/>
          <w:i/>
          <w:sz w:val="22"/>
          <w:szCs w:val="22"/>
        </w:rPr>
        <w:t>-</w:t>
      </w:r>
      <w:r w:rsidRPr="00AF1A95">
        <w:rPr>
          <w:rFonts w:ascii="Arial" w:hAnsi="Arial" w:cs="Arial"/>
          <w:sz w:val="22"/>
          <w:szCs w:val="22"/>
        </w:rPr>
        <w:t>. Los Premios Adquisición se adjudicarán en las siguientes especialidades:</w:t>
      </w:r>
    </w:p>
    <w:p w:rsidR="00BB13AE" w:rsidRPr="00AF1A95" w:rsidRDefault="00BB13AE" w:rsidP="00887F2C">
      <w:pPr>
        <w:numPr>
          <w:ilvl w:val="0"/>
          <w:numId w:val="1"/>
        </w:numPr>
        <w:tabs>
          <w:tab w:val="num" w:pos="567"/>
        </w:tabs>
        <w:spacing w:line="360" w:lineRule="auto"/>
        <w:jc w:val="both"/>
        <w:rPr>
          <w:rFonts w:ascii="Arial" w:hAnsi="Arial" w:cs="Arial"/>
          <w:sz w:val="22"/>
          <w:szCs w:val="22"/>
        </w:rPr>
      </w:pPr>
      <w:r w:rsidRPr="00AF1A95">
        <w:rPr>
          <w:rFonts w:ascii="Arial" w:hAnsi="Arial" w:cs="Arial"/>
          <w:sz w:val="22"/>
          <w:szCs w:val="22"/>
        </w:rPr>
        <w:t xml:space="preserve">Alfarería </w:t>
      </w:r>
    </w:p>
    <w:p w:rsidR="00BB13AE" w:rsidRPr="00AF1A95" w:rsidRDefault="00BB13AE" w:rsidP="00887F2C">
      <w:pPr>
        <w:numPr>
          <w:ilvl w:val="0"/>
          <w:numId w:val="1"/>
        </w:numPr>
        <w:tabs>
          <w:tab w:val="num" w:pos="567"/>
        </w:tabs>
        <w:spacing w:line="360" w:lineRule="auto"/>
        <w:jc w:val="both"/>
        <w:rPr>
          <w:rFonts w:ascii="Arial" w:hAnsi="Arial" w:cs="Arial"/>
          <w:sz w:val="22"/>
          <w:szCs w:val="22"/>
        </w:rPr>
      </w:pPr>
      <w:r w:rsidRPr="00AF1A95">
        <w:rPr>
          <w:rFonts w:ascii="Arial" w:hAnsi="Arial" w:cs="Arial"/>
          <w:sz w:val="22"/>
          <w:szCs w:val="22"/>
        </w:rPr>
        <w:t xml:space="preserve">Cueros </w:t>
      </w:r>
    </w:p>
    <w:p w:rsidR="00BB13AE" w:rsidRPr="00AF1A95" w:rsidRDefault="00BB13AE" w:rsidP="00887F2C">
      <w:pPr>
        <w:numPr>
          <w:ilvl w:val="0"/>
          <w:numId w:val="1"/>
        </w:numPr>
        <w:tabs>
          <w:tab w:val="num" w:pos="567"/>
        </w:tabs>
        <w:spacing w:line="360" w:lineRule="auto"/>
        <w:jc w:val="both"/>
        <w:rPr>
          <w:rFonts w:ascii="Arial" w:hAnsi="Arial" w:cs="Arial"/>
          <w:sz w:val="22"/>
          <w:szCs w:val="22"/>
        </w:rPr>
      </w:pPr>
      <w:r w:rsidRPr="00AF1A95">
        <w:rPr>
          <w:rFonts w:ascii="Arial" w:hAnsi="Arial" w:cs="Arial"/>
          <w:sz w:val="22"/>
          <w:szCs w:val="22"/>
        </w:rPr>
        <w:t xml:space="preserve">Madera </w:t>
      </w:r>
    </w:p>
    <w:p w:rsidR="00BB13AE" w:rsidRPr="00AF1A95" w:rsidRDefault="00BB13AE" w:rsidP="00887F2C">
      <w:pPr>
        <w:numPr>
          <w:ilvl w:val="0"/>
          <w:numId w:val="1"/>
        </w:numPr>
        <w:tabs>
          <w:tab w:val="num" w:pos="567"/>
        </w:tabs>
        <w:spacing w:line="360" w:lineRule="auto"/>
        <w:jc w:val="both"/>
        <w:rPr>
          <w:rFonts w:ascii="Arial" w:hAnsi="Arial" w:cs="Arial"/>
          <w:sz w:val="22"/>
          <w:szCs w:val="22"/>
        </w:rPr>
      </w:pPr>
      <w:r w:rsidRPr="00AF1A95">
        <w:rPr>
          <w:rFonts w:ascii="Arial" w:hAnsi="Arial" w:cs="Arial"/>
          <w:sz w:val="22"/>
          <w:szCs w:val="22"/>
        </w:rPr>
        <w:t xml:space="preserve">Metal </w:t>
      </w:r>
    </w:p>
    <w:p w:rsidR="00BB13AE" w:rsidRPr="00AF1A95" w:rsidRDefault="00BB13AE" w:rsidP="00887F2C">
      <w:pPr>
        <w:numPr>
          <w:ilvl w:val="0"/>
          <w:numId w:val="1"/>
        </w:numPr>
        <w:tabs>
          <w:tab w:val="num" w:pos="567"/>
        </w:tabs>
        <w:spacing w:line="360" w:lineRule="auto"/>
        <w:jc w:val="both"/>
        <w:rPr>
          <w:rFonts w:ascii="Arial" w:hAnsi="Arial" w:cs="Arial"/>
          <w:sz w:val="22"/>
          <w:szCs w:val="22"/>
        </w:rPr>
      </w:pPr>
      <w:r w:rsidRPr="00AF1A95">
        <w:rPr>
          <w:rFonts w:ascii="Arial" w:hAnsi="Arial" w:cs="Arial"/>
          <w:sz w:val="22"/>
          <w:szCs w:val="22"/>
        </w:rPr>
        <w:t xml:space="preserve">Textiles </w:t>
      </w:r>
    </w:p>
    <w:p w:rsidR="00BB13AE" w:rsidRPr="00AF1A95" w:rsidRDefault="00BB13AE" w:rsidP="00887F2C">
      <w:pPr>
        <w:numPr>
          <w:ilvl w:val="0"/>
          <w:numId w:val="1"/>
        </w:numPr>
        <w:tabs>
          <w:tab w:val="num" w:pos="567"/>
        </w:tabs>
        <w:spacing w:line="360" w:lineRule="auto"/>
        <w:jc w:val="both"/>
        <w:rPr>
          <w:rFonts w:ascii="Arial" w:hAnsi="Arial" w:cs="Arial"/>
          <w:sz w:val="22"/>
          <w:szCs w:val="22"/>
        </w:rPr>
      </w:pPr>
      <w:r w:rsidRPr="00AF1A95">
        <w:rPr>
          <w:rFonts w:ascii="Arial" w:hAnsi="Arial" w:cs="Arial"/>
          <w:sz w:val="22"/>
          <w:szCs w:val="22"/>
        </w:rPr>
        <w:t xml:space="preserve">Vidrio </w:t>
      </w:r>
    </w:p>
    <w:p w:rsidR="00BB13AE" w:rsidRPr="00AF1A95" w:rsidRDefault="00BB13AE" w:rsidP="00887F2C">
      <w:pPr>
        <w:numPr>
          <w:ilvl w:val="0"/>
          <w:numId w:val="1"/>
        </w:numPr>
        <w:tabs>
          <w:tab w:val="num" w:pos="567"/>
        </w:tabs>
        <w:spacing w:line="360" w:lineRule="auto"/>
        <w:jc w:val="both"/>
        <w:rPr>
          <w:rFonts w:ascii="Arial" w:hAnsi="Arial" w:cs="Arial"/>
          <w:sz w:val="22"/>
          <w:szCs w:val="22"/>
        </w:rPr>
      </w:pPr>
      <w:r w:rsidRPr="00AF1A95">
        <w:rPr>
          <w:rFonts w:ascii="Arial" w:hAnsi="Arial" w:cs="Arial"/>
          <w:sz w:val="22"/>
          <w:szCs w:val="22"/>
        </w:rPr>
        <w:t xml:space="preserve">Otros materiales </w:t>
      </w:r>
    </w:p>
    <w:p w:rsidR="00BB13AE" w:rsidRPr="00AF1A95" w:rsidRDefault="00BB13AE" w:rsidP="00AF1A95">
      <w:pPr>
        <w:spacing w:line="360" w:lineRule="auto"/>
        <w:jc w:val="both"/>
        <w:rPr>
          <w:rFonts w:ascii="Arial" w:hAnsi="Arial" w:cs="Arial"/>
          <w:sz w:val="22"/>
          <w:szCs w:val="22"/>
        </w:rPr>
      </w:pPr>
    </w:p>
    <w:p w:rsidR="00BB13AE" w:rsidRPr="00AF1A95" w:rsidRDefault="00BB13AE" w:rsidP="00AF1A95">
      <w:pPr>
        <w:spacing w:line="360" w:lineRule="auto"/>
        <w:jc w:val="both"/>
        <w:rPr>
          <w:rFonts w:ascii="Arial" w:hAnsi="Arial" w:cs="Arial"/>
          <w:sz w:val="22"/>
          <w:szCs w:val="22"/>
        </w:rPr>
      </w:pPr>
      <w:r w:rsidRPr="00AF1A95">
        <w:rPr>
          <w:rFonts w:ascii="Arial" w:hAnsi="Arial" w:cs="Arial"/>
          <w:sz w:val="22"/>
          <w:szCs w:val="22"/>
        </w:rPr>
        <w:t>Artículo 4º.</w:t>
      </w:r>
      <w:r w:rsidRPr="00AF1A95">
        <w:rPr>
          <w:rFonts w:ascii="Arial" w:hAnsi="Arial" w:cs="Arial"/>
          <w:i/>
          <w:sz w:val="22"/>
          <w:szCs w:val="22"/>
        </w:rPr>
        <w:t>-</w:t>
      </w:r>
      <w:r w:rsidRPr="00AF1A95">
        <w:rPr>
          <w:rFonts w:ascii="Arial" w:hAnsi="Arial" w:cs="Arial"/>
          <w:sz w:val="22"/>
          <w:szCs w:val="22"/>
        </w:rPr>
        <w:t>Intervención necesaria</w:t>
      </w:r>
      <w:r w:rsidRPr="00AF1A95">
        <w:rPr>
          <w:rFonts w:ascii="Arial" w:hAnsi="Arial" w:cs="Arial"/>
          <w:i/>
          <w:sz w:val="22"/>
          <w:szCs w:val="22"/>
        </w:rPr>
        <w:t>-</w:t>
      </w:r>
      <w:r w:rsidRPr="00AF1A95">
        <w:rPr>
          <w:rFonts w:ascii="Arial" w:hAnsi="Arial" w:cs="Arial"/>
          <w:sz w:val="22"/>
          <w:szCs w:val="22"/>
        </w:rPr>
        <w:t>. La Dirección General de Museos del Gobierno de la Ciudad a través del Museo de Arte Popular José Hernández y la Comisión para la Preservación del Patrimonio Histórico Cultural de la Ciudad de Buenos Aires, tendrán intervención necesaria en la realización y en la curaduría de la Bienal.</w:t>
      </w:r>
    </w:p>
    <w:p w:rsidR="00AF1A95" w:rsidRDefault="00AF1A95" w:rsidP="00AF1A95">
      <w:pPr>
        <w:spacing w:line="360" w:lineRule="auto"/>
        <w:jc w:val="both"/>
        <w:rPr>
          <w:rFonts w:ascii="Arial" w:hAnsi="Arial" w:cs="Arial"/>
          <w:sz w:val="22"/>
          <w:szCs w:val="22"/>
        </w:rPr>
      </w:pPr>
    </w:p>
    <w:p w:rsidR="00BB13AE" w:rsidRPr="00AF1A95" w:rsidRDefault="00BB13AE" w:rsidP="00AF1A95">
      <w:pPr>
        <w:spacing w:line="360" w:lineRule="auto"/>
        <w:jc w:val="both"/>
        <w:rPr>
          <w:rFonts w:ascii="Arial" w:hAnsi="Arial" w:cs="Arial"/>
          <w:sz w:val="22"/>
          <w:szCs w:val="22"/>
        </w:rPr>
      </w:pPr>
      <w:r w:rsidRPr="00AF1A95">
        <w:rPr>
          <w:rFonts w:ascii="Arial" w:hAnsi="Arial" w:cs="Arial"/>
          <w:sz w:val="22"/>
          <w:szCs w:val="22"/>
        </w:rPr>
        <w:t>Artículo 5º.</w:t>
      </w:r>
      <w:r w:rsidRPr="00AF1A95">
        <w:rPr>
          <w:rFonts w:ascii="Arial" w:hAnsi="Arial" w:cs="Arial"/>
          <w:i/>
          <w:sz w:val="22"/>
          <w:szCs w:val="22"/>
        </w:rPr>
        <w:t>-</w:t>
      </w:r>
      <w:r w:rsidRPr="00AF1A95">
        <w:rPr>
          <w:rFonts w:ascii="Arial" w:hAnsi="Arial" w:cs="Arial"/>
          <w:sz w:val="22"/>
          <w:szCs w:val="22"/>
        </w:rPr>
        <w:t>Realización. Reglamento</w:t>
      </w:r>
      <w:r w:rsidRPr="00AF1A95">
        <w:rPr>
          <w:rFonts w:ascii="Arial" w:hAnsi="Arial" w:cs="Arial"/>
          <w:i/>
          <w:sz w:val="22"/>
          <w:szCs w:val="22"/>
        </w:rPr>
        <w:t>-</w:t>
      </w:r>
      <w:r w:rsidRPr="00AF1A95">
        <w:rPr>
          <w:rFonts w:ascii="Arial" w:hAnsi="Arial" w:cs="Arial"/>
          <w:sz w:val="22"/>
          <w:szCs w:val="22"/>
        </w:rPr>
        <w:t>. Los organismos encargados de la organización de la Bienal tendrán a su cargo:</w:t>
      </w:r>
    </w:p>
    <w:p w:rsidR="00BB13AE" w:rsidRPr="00AF1A95" w:rsidRDefault="00BB13AE" w:rsidP="00887F2C">
      <w:pPr>
        <w:numPr>
          <w:ilvl w:val="0"/>
          <w:numId w:val="2"/>
        </w:numPr>
        <w:tabs>
          <w:tab w:val="num" w:pos="567"/>
        </w:tabs>
        <w:spacing w:line="360" w:lineRule="auto"/>
        <w:ind w:left="567" w:hanging="567"/>
        <w:jc w:val="both"/>
        <w:rPr>
          <w:rFonts w:ascii="Arial" w:hAnsi="Arial" w:cs="Arial"/>
          <w:sz w:val="22"/>
          <w:szCs w:val="22"/>
        </w:rPr>
      </w:pPr>
      <w:r w:rsidRPr="00AF1A95">
        <w:rPr>
          <w:rFonts w:ascii="Arial" w:hAnsi="Arial" w:cs="Arial"/>
          <w:sz w:val="22"/>
          <w:szCs w:val="22"/>
        </w:rPr>
        <w:t xml:space="preserve">Su realización integral; </w:t>
      </w:r>
    </w:p>
    <w:p w:rsidR="00BB13AE" w:rsidRPr="00AF1A95" w:rsidRDefault="00BB13AE" w:rsidP="00887F2C">
      <w:pPr>
        <w:numPr>
          <w:ilvl w:val="0"/>
          <w:numId w:val="2"/>
        </w:numPr>
        <w:tabs>
          <w:tab w:val="num" w:pos="567"/>
        </w:tabs>
        <w:spacing w:line="360" w:lineRule="auto"/>
        <w:ind w:left="567" w:hanging="567"/>
        <w:jc w:val="both"/>
        <w:rPr>
          <w:rFonts w:ascii="Arial" w:hAnsi="Arial" w:cs="Arial"/>
          <w:sz w:val="22"/>
          <w:szCs w:val="22"/>
        </w:rPr>
      </w:pPr>
      <w:r w:rsidRPr="00AF1A95">
        <w:rPr>
          <w:rFonts w:ascii="Arial" w:hAnsi="Arial" w:cs="Arial"/>
          <w:sz w:val="22"/>
          <w:szCs w:val="22"/>
        </w:rPr>
        <w:t xml:space="preserve">La realización de actividades vinculadas con la temática destinadas a actualizar conocimientos y tendencias. </w:t>
      </w:r>
    </w:p>
    <w:p w:rsidR="00BB13AE" w:rsidRPr="00AF1A95" w:rsidRDefault="00BB13AE" w:rsidP="00887F2C">
      <w:pPr>
        <w:numPr>
          <w:ilvl w:val="0"/>
          <w:numId w:val="2"/>
        </w:numPr>
        <w:tabs>
          <w:tab w:val="num" w:pos="567"/>
        </w:tabs>
        <w:spacing w:line="360" w:lineRule="auto"/>
        <w:ind w:left="567" w:hanging="567"/>
        <w:jc w:val="both"/>
        <w:rPr>
          <w:rFonts w:ascii="Arial" w:hAnsi="Arial" w:cs="Arial"/>
          <w:sz w:val="22"/>
          <w:szCs w:val="22"/>
        </w:rPr>
      </w:pPr>
      <w:r w:rsidRPr="00AF1A95">
        <w:rPr>
          <w:rFonts w:ascii="Arial" w:hAnsi="Arial" w:cs="Arial"/>
          <w:sz w:val="22"/>
          <w:szCs w:val="22"/>
        </w:rPr>
        <w:t xml:space="preserve">La conformación del Jurado que seleccione las obras a exhibir y establezca los premios correspondientes. </w:t>
      </w:r>
    </w:p>
    <w:p w:rsidR="00BB13AE" w:rsidRPr="00AF1A95" w:rsidRDefault="00BB13AE" w:rsidP="00887F2C">
      <w:pPr>
        <w:numPr>
          <w:ilvl w:val="0"/>
          <w:numId w:val="2"/>
        </w:numPr>
        <w:tabs>
          <w:tab w:val="num" w:pos="567"/>
        </w:tabs>
        <w:spacing w:line="360" w:lineRule="auto"/>
        <w:ind w:left="567" w:hanging="567"/>
        <w:jc w:val="both"/>
        <w:rPr>
          <w:rFonts w:ascii="Arial" w:hAnsi="Arial" w:cs="Arial"/>
          <w:sz w:val="22"/>
          <w:szCs w:val="22"/>
        </w:rPr>
      </w:pPr>
      <w:r w:rsidRPr="00AF1A95">
        <w:rPr>
          <w:rFonts w:ascii="Arial" w:hAnsi="Arial" w:cs="Arial"/>
          <w:sz w:val="22"/>
          <w:szCs w:val="22"/>
        </w:rPr>
        <w:t xml:space="preserve">Elaborar el Reglamento Interno de la Bienal de Artesanías de Buenos Aires. </w:t>
      </w:r>
    </w:p>
    <w:p w:rsidR="00BB13AE" w:rsidRPr="00AF1A95" w:rsidRDefault="00BB13AE" w:rsidP="00AF1A95">
      <w:pPr>
        <w:spacing w:line="360" w:lineRule="auto"/>
        <w:jc w:val="both"/>
        <w:rPr>
          <w:rFonts w:ascii="Arial" w:hAnsi="Arial" w:cs="Arial"/>
          <w:sz w:val="22"/>
          <w:szCs w:val="22"/>
        </w:rPr>
      </w:pPr>
    </w:p>
    <w:p w:rsidR="00BB13AE" w:rsidRPr="00AF1A95" w:rsidRDefault="00BB13AE" w:rsidP="00AF1A95">
      <w:pPr>
        <w:spacing w:line="360" w:lineRule="auto"/>
        <w:jc w:val="both"/>
        <w:rPr>
          <w:rFonts w:ascii="Arial" w:hAnsi="Arial" w:cs="Arial"/>
          <w:sz w:val="22"/>
          <w:szCs w:val="22"/>
        </w:rPr>
      </w:pPr>
      <w:r w:rsidRPr="00AF1A95">
        <w:rPr>
          <w:rFonts w:ascii="Arial" w:hAnsi="Arial" w:cs="Arial"/>
          <w:sz w:val="22"/>
          <w:szCs w:val="22"/>
        </w:rPr>
        <w:t>Artículo 6º.</w:t>
      </w:r>
      <w:r w:rsidRPr="00AF1A95">
        <w:rPr>
          <w:rFonts w:ascii="Arial" w:hAnsi="Arial" w:cs="Arial"/>
          <w:i/>
          <w:sz w:val="22"/>
          <w:szCs w:val="22"/>
        </w:rPr>
        <w:t>-</w:t>
      </w:r>
      <w:r w:rsidRPr="00AF1A95">
        <w:rPr>
          <w:rFonts w:ascii="Arial" w:hAnsi="Arial" w:cs="Arial"/>
          <w:sz w:val="22"/>
          <w:szCs w:val="22"/>
        </w:rPr>
        <w:t>Jurado</w:t>
      </w:r>
      <w:r w:rsidRPr="00AF1A95">
        <w:rPr>
          <w:rFonts w:ascii="Arial" w:hAnsi="Arial" w:cs="Arial"/>
          <w:i/>
          <w:sz w:val="22"/>
          <w:szCs w:val="22"/>
        </w:rPr>
        <w:t>-</w:t>
      </w:r>
      <w:r w:rsidRPr="00AF1A95">
        <w:rPr>
          <w:rFonts w:ascii="Arial" w:hAnsi="Arial" w:cs="Arial"/>
          <w:sz w:val="22"/>
          <w:szCs w:val="22"/>
        </w:rPr>
        <w:t>. El Jurado estará conformado por cinco personas designadas: 4 (cuatro) por el Museo de Arte Popular José Hernández y 1 (uno) por la Comisión para la Preservación del Patrimonio Histórico Cultural de la Ciudad de Buenos Aires.</w:t>
      </w:r>
    </w:p>
    <w:p w:rsidR="00BB13AE" w:rsidRPr="00AF1A95" w:rsidRDefault="00BB13AE" w:rsidP="00AF1A95">
      <w:pPr>
        <w:spacing w:line="360" w:lineRule="auto"/>
        <w:jc w:val="both"/>
        <w:rPr>
          <w:rFonts w:ascii="Arial" w:hAnsi="Arial" w:cs="Arial"/>
          <w:sz w:val="22"/>
          <w:szCs w:val="22"/>
        </w:rPr>
      </w:pPr>
    </w:p>
    <w:p w:rsidR="00BB13AE" w:rsidRPr="00AF1A95" w:rsidRDefault="00BB13AE" w:rsidP="00AF1A95">
      <w:pPr>
        <w:spacing w:line="360" w:lineRule="auto"/>
        <w:jc w:val="both"/>
        <w:rPr>
          <w:rFonts w:ascii="Arial" w:hAnsi="Arial" w:cs="Arial"/>
          <w:sz w:val="22"/>
          <w:szCs w:val="22"/>
        </w:rPr>
      </w:pPr>
      <w:r w:rsidRPr="00AF1A95">
        <w:rPr>
          <w:rFonts w:ascii="Arial" w:hAnsi="Arial" w:cs="Arial"/>
          <w:sz w:val="22"/>
          <w:szCs w:val="22"/>
        </w:rPr>
        <w:t>Artículo 7º.</w:t>
      </w:r>
      <w:r w:rsidRPr="00AF1A95">
        <w:rPr>
          <w:rFonts w:ascii="Arial" w:hAnsi="Arial" w:cs="Arial"/>
          <w:i/>
          <w:sz w:val="22"/>
          <w:szCs w:val="22"/>
        </w:rPr>
        <w:t>-</w:t>
      </w:r>
      <w:r w:rsidRPr="00AF1A95">
        <w:rPr>
          <w:rFonts w:ascii="Arial" w:hAnsi="Arial" w:cs="Arial"/>
          <w:sz w:val="22"/>
          <w:szCs w:val="22"/>
        </w:rPr>
        <w:t>Gastos</w:t>
      </w:r>
      <w:r w:rsidRPr="00AF1A95">
        <w:rPr>
          <w:rFonts w:ascii="Arial" w:hAnsi="Arial" w:cs="Arial"/>
          <w:i/>
          <w:sz w:val="22"/>
          <w:szCs w:val="22"/>
        </w:rPr>
        <w:t>-</w:t>
      </w:r>
      <w:r w:rsidRPr="00AF1A95">
        <w:rPr>
          <w:rFonts w:ascii="Arial" w:hAnsi="Arial" w:cs="Arial"/>
          <w:sz w:val="22"/>
          <w:szCs w:val="22"/>
        </w:rPr>
        <w:t xml:space="preserve">. Los gastos que demande el cumplimiento de la presente serán imputados a la Jurisdicción 50, Secretaría de Cultura; Unidad Ejecutora 526, Comisión de Preservación del Patrimonio Cultural; Programa 5190, Concientizar sobre la Preservación del Patrimonio Cultural, correspondientes al Presupuesto General de Gastos y Cálculo de Recursos. </w:t>
      </w:r>
    </w:p>
    <w:p w:rsidR="0009329B" w:rsidRPr="00AF1A95" w:rsidRDefault="0009329B" w:rsidP="00AF1A95">
      <w:pPr>
        <w:spacing w:line="360" w:lineRule="auto"/>
        <w:jc w:val="both"/>
        <w:rPr>
          <w:rFonts w:ascii="Arial" w:hAnsi="Arial" w:cs="Arial"/>
          <w:sz w:val="22"/>
          <w:szCs w:val="22"/>
        </w:rPr>
      </w:pPr>
    </w:p>
    <w:tbl>
      <w:tblPr>
        <w:tblW w:w="0" w:type="auto"/>
        <w:jc w:val="center"/>
        <w:tblInd w:w="-6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363"/>
        <w:gridCol w:w="5189"/>
      </w:tblGrid>
      <w:tr w:rsidR="0009329B" w:rsidRPr="00AF1A95" w:rsidTr="00AF1A95">
        <w:trPr>
          <w:jc w:val="center"/>
        </w:trPr>
        <w:tc>
          <w:tcPr>
            <w:tcW w:w="9552" w:type="dxa"/>
            <w:gridSpan w:val="2"/>
          </w:tcPr>
          <w:p w:rsidR="0009329B" w:rsidRPr="00AF1A95" w:rsidRDefault="0009329B" w:rsidP="001C061A">
            <w:pPr>
              <w:pStyle w:val="Textosinformato"/>
              <w:spacing w:before="240" w:line="360" w:lineRule="auto"/>
              <w:jc w:val="center"/>
              <w:rPr>
                <w:rFonts w:ascii="Arial" w:hAnsi="Arial" w:cs="Arial"/>
                <w:sz w:val="22"/>
                <w:u w:val="single"/>
              </w:rPr>
            </w:pPr>
            <w:r w:rsidRPr="00AF1A95">
              <w:rPr>
                <w:rFonts w:ascii="Arial" w:hAnsi="Arial" w:cs="Arial"/>
                <w:b/>
                <w:sz w:val="22"/>
                <w:szCs w:val="22"/>
              </w:rPr>
              <w:t xml:space="preserve">LEY </w:t>
            </w:r>
            <w:r w:rsidR="00BB13AE" w:rsidRPr="00AF1A95">
              <w:rPr>
                <w:rFonts w:ascii="Arial" w:hAnsi="Arial" w:cs="Arial"/>
                <w:b/>
                <w:sz w:val="22"/>
                <w:szCs w:val="22"/>
              </w:rPr>
              <w:t>G</w:t>
            </w:r>
            <w:r w:rsidR="003A2640" w:rsidRPr="00AF1A95">
              <w:rPr>
                <w:rFonts w:ascii="Arial" w:hAnsi="Arial" w:cs="Arial"/>
                <w:b/>
                <w:sz w:val="22"/>
                <w:szCs w:val="22"/>
              </w:rPr>
              <w:t xml:space="preserve"> </w:t>
            </w:r>
            <w:r w:rsidRPr="00AF1A95">
              <w:rPr>
                <w:rFonts w:ascii="Arial" w:hAnsi="Arial" w:cs="Arial"/>
                <w:b/>
                <w:sz w:val="22"/>
                <w:szCs w:val="22"/>
              </w:rPr>
              <w:t xml:space="preserve">- N° </w:t>
            </w:r>
            <w:r w:rsidR="00BB13AE" w:rsidRPr="00AF1A95">
              <w:rPr>
                <w:rFonts w:ascii="Arial" w:hAnsi="Arial" w:cs="Arial"/>
                <w:b/>
                <w:sz w:val="22"/>
                <w:szCs w:val="22"/>
              </w:rPr>
              <w:t>1</w:t>
            </w:r>
            <w:r w:rsidR="00887F2C">
              <w:rPr>
                <w:rFonts w:ascii="Arial" w:hAnsi="Arial" w:cs="Arial"/>
                <w:b/>
                <w:sz w:val="22"/>
                <w:szCs w:val="22"/>
              </w:rPr>
              <w:t>.</w:t>
            </w:r>
            <w:r w:rsidR="00BB13AE" w:rsidRPr="00AF1A95">
              <w:rPr>
                <w:rFonts w:ascii="Arial" w:hAnsi="Arial" w:cs="Arial"/>
                <w:b/>
                <w:sz w:val="22"/>
                <w:szCs w:val="22"/>
              </w:rPr>
              <w:t>348</w:t>
            </w:r>
          </w:p>
          <w:p w:rsidR="0009329B" w:rsidRPr="00AF1A95" w:rsidRDefault="0009329B" w:rsidP="00AF1A95">
            <w:pPr>
              <w:pStyle w:val="Textosinformato"/>
              <w:spacing w:line="360" w:lineRule="auto"/>
              <w:jc w:val="center"/>
              <w:rPr>
                <w:rFonts w:ascii="Arial" w:hAnsi="Arial" w:cs="Arial"/>
                <w:b/>
                <w:sz w:val="22"/>
                <w:u w:val="single"/>
              </w:rPr>
            </w:pPr>
            <w:r w:rsidRPr="00AF1A95">
              <w:rPr>
                <w:rFonts w:ascii="Arial" w:hAnsi="Arial" w:cs="Arial"/>
                <w:b/>
                <w:sz w:val="22"/>
                <w:szCs w:val="22"/>
              </w:rPr>
              <w:t>TABLA DE ANTECEDENTES</w:t>
            </w:r>
          </w:p>
        </w:tc>
      </w:tr>
      <w:tr w:rsidR="0009329B" w:rsidRPr="00AF1A95" w:rsidTr="00AF1A95">
        <w:trPr>
          <w:jc w:val="center"/>
        </w:trPr>
        <w:tc>
          <w:tcPr>
            <w:tcW w:w="4363" w:type="dxa"/>
            <w:vAlign w:val="center"/>
          </w:tcPr>
          <w:p w:rsidR="0009329B" w:rsidRPr="00AF1A95" w:rsidRDefault="0009329B" w:rsidP="00887F2C">
            <w:pPr>
              <w:pStyle w:val="Textosinformato"/>
              <w:spacing w:line="360" w:lineRule="auto"/>
              <w:jc w:val="center"/>
              <w:rPr>
                <w:rFonts w:ascii="Arial" w:hAnsi="Arial" w:cs="Arial"/>
                <w:b/>
                <w:sz w:val="22"/>
              </w:rPr>
            </w:pPr>
            <w:r w:rsidRPr="00AF1A95">
              <w:rPr>
                <w:rFonts w:ascii="Arial" w:hAnsi="Arial" w:cs="Arial"/>
                <w:b/>
                <w:sz w:val="22"/>
                <w:szCs w:val="22"/>
              </w:rPr>
              <w:t>Artículo del Texto</w:t>
            </w:r>
            <w:r w:rsidR="00887F2C">
              <w:rPr>
                <w:rFonts w:ascii="Arial" w:hAnsi="Arial" w:cs="Arial"/>
                <w:b/>
                <w:sz w:val="22"/>
                <w:szCs w:val="22"/>
              </w:rPr>
              <w:t xml:space="preserve"> </w:t>
            </w:r>
            <w:r w:rsidRPr="00AF1A95">
              <w:rPr>
                <w:rFonts w:ascii="Arial" w:hAnsi="Arial" w:cs="Arial"/>
                <w:b/>
                <w:sz w:val="22"/>
                <w:szCs w:val="22"/>
              </w:rPr>
              <w:t>Definitivo</w:t>
            </w:r>
          </w:p>
        </w:tc>
        <w:tc>
          <w:tcPr>
            <w:tcW w:w="5189" w:type="dxa"/>
            <w:vAlign w:val="center"/>
          </w:tcPr>
          <w:p w:rsidR="0009329B" w:rsidRPr="00AF1A95" w:rsidRDefault="0009329B" w:rsidP="00AF1A95">
            <w:pPr>
              <w:pStyle w:val="Textosinformato"/>
              <w:spacing w:line="360" w:lineRule="auto"/>
              <w:jc w:val="center"/>
              <w:rPr>
                <w:rFonts w:ascii="Arial" w:hAnsi="Arial" w:cs="Arial"/>
                <w:b/>
                <w:sz w:val="22"/>
              </w:rPr>
            </w:pPr>
            <w:r w:rsidRPr="00AF1A95">
              <w:rPr>
                <w:rFonts w:ascii="Arial" w:hAnsi="Arial" w:cs="Arial"/>
                <w:b/>
                <w:sz w:val="22"/>
                <w:szCs w:val="22"/>
              </w:rPr>
              <w:t>Fuente</w:t>
            </w:r>
          </w:p>
        </w:tc>
      </w:tr>
      <w:tr w:rsidR="0009329B" w:rsidRPr="00AF1A95" w:rsidTr="00AF1A95">
        <w:trPr>
          <w:trHeight w:val="555"/>
          <w:jc w:val="center"/>
        </w:trPr>
        <w:tc>
          <w:tcPr>
            <w:tcW w:w="9552" w:type="dxa"/>
            <w:gridSpan w:val="2"/>
          </w:tcPr>
          <w:p w:rsidR="0009329B" w:rsidRPr="00AF1A95" w:rsidRDefault="00BB13AE" w:rsidP="00AF1A95">
            <w:pPr>
              <w:pStyle w:val="Textosinformato"/>
              <w:spacing w:line="360" w:lineRule="auto"/>
              <w:jc w:val="both"/>
              <w:rPr>
                <w:rFonts w:ascii="Arial" w:hAnsi="Arial" w:cs="Arial"/>
                <w:sz w:val="22"/>
              </w:rPr>
            </w:pPr>
            <w:r w:rsidRPr="00AF1A95">
              <w:rPr>
                <w:rFonts w:ascii="Arial" w:hAnsi="Arial" w:cs="Arial"/>
                <w:sz w:val="22"/>
                <w:szCs w:val="22"/>
              </w:rPr>
              <w:t xml:space="preserve"> Todos los artículos de este texto definitivo provienen del texto original de la Ley 1</w:t>
            </w:r>
            <w:r w:rsidR="00887F2C">
              <w:rPr>
                <w:rFonts w:ascii="Arial" w:hAnsi="Arial" w:cs="Arial"/>
                <w:sz w:val="22"/>
                <w:szCs w:val="22"/>
              </w:rPr>
              <w:t>.</w:t>
            </w:r>
            <w:r w:rsidRPr="00AF1A95">
              <w:rPr>
                <w:rFonts w:ascii="Arial" w:hAnsi="Arial" w:cs="Arial"/>
                <w:sz w:val="22"/>
                <w:szCs w:val="22"/>
              </w:rPr>
              <w:t>348.</w:t>
            </w:r>
          </w:p>
        </w:tc>
      </w:tr>
    </w:tbl>
    <w:p w:rsidR="0009329B" w:rsidRPr="00AF1A95" w:rsidRDefault="0009329B" w:rsidP="00AF1A95">
      <w:pPr>
        <w:spacing w:line="360" w:lineRule="auto"/>
        <w:rPr>
          <w:rFonts w:ascii="Arial" w:hAnsi="Arial" w:cs="Arial"/>
          <w:b/>
          <w:sz w:val="22"/>
          <w:szCs w:val="22"/>
        </w:rPr>
      </w:pPr>
    </w:p>
    <w:tbl>
      <w:tblPr>
        <w:tblW w:w="0" w:type="auto"/>
        <w:jc w:val="center"/>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37"/>
        <w:gridCol w:w="2850"/>
        <w:gridCol w:w="3408"/>
      </w:tblGrid>
      <w:tr w:rsidR="0009329B" w:rsidRPr="00AF1A95" w:rsidTr="00055CCF">
        <w:trPr>
          <w:jc w:val="center"/>
        </w:trPr>
        <w:tc>
          <w:tcPr>
            <w:tcW w:w="9595" w:type="dxa"/>
            <w:gridSpan w:val="3"/>
          </w:tcPr>
          <w:p w:rsidR="0009329B" w:rsidRPr="00AF1A95" w:rsidRDefault="0009329B" w:rsidP="001C061A">
            <w:pPr>
              <w:pStyle w:val="Textosinformato"/>
              <w:spacing w:before="240" w:line="360" w:lineRule="auto"/>
              <w:jc w:val="center"/>
              <w:rPr>
                <w:rFonts w:ascii="Arial" w:hAnsi="Arial" w:cs="Arial"/>
                <w:b/>
                <w:sz w:val="22"/>
              </w:rPr>
            </w:pPr>
            <w:r w:rsidRPr="00AF1A95">
              <w:rPr>
                <w:rFonts w:ascii="Arial" w:hAnsi="Arial" w:cs="Arial"/>
                <w:b/>
                <w:sz w:val="22"/>
                <w:szCs w:val="22"/>
              </w:rPr>
              <w:t xml:space="preserve">LEY </w:t>
            </w:r>
            <w:r w:rsidR="00BB13AE" w:rsidRPr="00AF1A95">
              <w:rPr>
                <w:rFonts w:ascii="Arial" w:hAnsi="Arial" w:cs="Arial"/>
                <w:b/>
                <w:sz w:val="22"/>
                <w:szCs w:val="22"/>
              </w:rPr>
              <w:t>G</w:t>
            </w:r>
            <w:r w:rsidR="003A2640" w:rsidRPr="00AF1A95">
              <w:rPr>
                <w:rFonts w:ascii="Arial" w:hAnsi="Arial" w:cs="Arial"/>
                <w:b/>
                <w:sz w:val="22"/>
                <w:szCs w:val="22"/>
              </w:rPr>
              <w:t xml:space="preserve"> </w:t>
            </w:r>
            <w:r w:rsidRPr="00AF1A95">
              <w:rPr>
                <w:rFonts w:ascii="Arial" w:hAnsi="Arial" w:cs="Arial"/>
                <w:b/>
                <w:sz w:val="22"/>
                <w:szCs w:val="22"/>
              </w:rPr>
              <w:t xml:space="preserve">- N° </w:t>
            </w:r>
            <w:r w:rsidR="00BB13AE" w:rsidRPr="00AF1A95">
              <w:rPr>
                <w:rFonts w:ascii="Arial" w:hAnsi="Arial" w:cs="Arial"/>
                <w:b/>
                <w:sz w:val="22"/>
                <w:szCs w:val="22"/>
              </w:rPr>
              <w:t>1</w:t>
            </w:r>
            <w:r w:rsidR="00887F2C">
              <w:rPr>
                <w:rFonts w:ascii="Arial" w:hAnsi="Arial" w:cs="Arial"/>
                <w:b/>
                <w:sz w:val="22"/>
                <w:szCs w:val="22"/>
              </w:rPr>
              <w:t>.</w:t>
            </w:r>
            <w:r w:rsidR="00BB13AE" w:rsidRPr="00AF1A95">
              <w:rPr>
                <w:rFonts w:ascii="Arial" w:hAnsi="Arial" w:cs="Arial"/>
                <w:b/>
                <w:sz w:val="22"/>
                <w:szCs w:val="22"/>
              </w:rPr>
              <w:t>348</w:t>
            </w:r>
          </w:p>
          <w:p w:rsidR="0009329B" w:rsidRPr="001C061A" w:rsidRDefault="0009329B" w:rsidP="001C061A">
            <w:pPr>
              <w:pStyle w:val="Textosinformato"/>
              <w:spacing w:line="360" w:lineRule="auto"/>
              <w:jc w:val="center"/>
              <w:rPr>
                <w:rFonts w:ascii="Arial" w:hAnsi="Arial" w:cs="Arial"/>
                <w:b/>
                <w:sz w:val="22"/>
              </w:rPr>
            </w:pPr>
            <w:r w:rsidRPr="00AF1A95">
              <w:rPr>
                <w:rFonts w:ascii="Arial" w:hAnsi="Arial" w:cs="Arial"/>
                <w:b/>
                <w:sz w:val="22"/>
                <w:szCs w:val="22"/>
              </w:rPr>
              <w:t>TABLA DE EQUIVALENCIAS</w:t>
            </w:r>
          </w:p>
        </w:tc>
      </w:tr>
      <w:tr w:rsidR="0009329B" w:rsidRPr="00AF1A95" w:rsidTr="00055CCF">
        <w:trPr>
          <w:jc w:val="center"/>
        </w:trPr>
        <w:tc>
          <w:tcPr>
            <w:tcW w:w="3337" w:type="dxa"/>
            <w:vAlign w:val="center"/>
          </w:tcPr>
          <w:p w:rsidR="0009329B" w:rsidRPr="00AF1A95" w:rsidRDefault="0009329B" w:rsidP="00AF1A95">
            <w:pPr>
              <w:spacing w:line="360" w:lineRule="auto"/>
              <w:jc w:val="center"/>
              <w:rPr>
                <w:rFonts w:ascii="Arial" w:hAnsi="Arial" w:cs="Arial"/>
                <w:b/>
              </w:rPr>
            </w:pPr>
            <w:r w:rsidRPr="00AF1A95">
              <w:rPr>
                <w:rFonts w:ascii="Arial" w:hAnsi="Arial" w:cs="Arial"/>
                <w:b/>
                <w:sz w:val="22"/>
                <w:szCs w:val="22"/>
              </w:rPr>
              <w:t>Número de artículo</w:t>
            </w:r>
          </w:p>
          <w:p w:rsidR="0009329B" w:rsidRPr="00AF1A95" w:rsidRDefault="0009329B" w:rsidP="00AF1A95">
            <w:pPr>
              <w:spacing w:line="360" w:lineRule="auto"/>
              <w:jc w:val="center"/>
              <w:rPr>
                <w:rFonts w:ascii="Arial" w:hAnsi="Arial" w:cs="Arial"/>
                <w:b/>
              </w:rPr>
            </w:pPr>
            <w:r w:rsidRPr="00AF1A95">
              <w:rPr>
                <w:rFonts w:ascii="Arial" w:hAnsi="Arial" w:cs="Arial"/>
                <w:b/>
                <w:sz w:val="22"/>
                <w:szCs w:val="22"/>
              </w:rPr>
              <w:t>del Texto Definitivo</w:t>
            </w:r>
          </w:p>
        </w:tc>
        <w:tc>
          <w:tcPr>
            <w:tcW w:w="2850" w:type="dxa"/>
            <w:vAlign w:val="center"/>
          </w:tcPr>
          <w:p w:rsidR="0009329B" w:rsidRPr="00AF1A95" w:rsidRDefault="0009329B" w:rsidP="00AF1A95">
            <w:pPr>
              <w:spacing w:line="360" w:lineRule="auto"/>
              <w:jc w:val="center"/>
              <w:rPr>
                <w:rFonts w:ascii="Arial" w:hAnsi="Arial" w:cs="Arial"/>
                <w:b/>
              </w:rPr>
            </w:pPr>
            <w:r w:rsidRPr="00AF1A95">
              <w:rPr>
                <w:rFonts w:ascii="Arial" w:hAnsi="Arial" w:cs="Arial"/>
                <w:b/>
                <w:sz w:val="22"/>
                <w:szCs w:val="22"/>
              </w:rPr>
              <w:t>Número de artículo</w:t>
            </w:r>
          </w:p>
          <w:p w:rsidR="0009329B" w:rsidRPr="00AF1A95" w:rsidRDefault="003A2640" w:rsidP="00AF1A95">
            <w:pPr>
              <w:spacing w:line="360" w:lineRule="auto"/>
              <w:jc w:val="center"/>
              <w:rPr>
                <w:rFonts w:ascii="Arial" w:hAnsi="Arial" w:cs="Arial"/>
                <w:b/>
              </w:rPr>
            </w:pPr>
            <w:r w:rsidRPr="00AF1A95">
              <w:rPr>
                <w:rFonts w:ascii="Arial" w:hAnsi="Arial" w:cs="Arial"/>
                <w:b/>
                <w:sz w:val="22"/>
                <w:szCs w:val="22"/>
              </w:rPr>
              <w:t xml:space="preserve">del Texto de Referencia (Ley </w:t>
            </w:r>
            <w:r w:rsidR="00BB13AE" w:rsidRPr="00AF1A95">
              <w:rPr>
                <w:rFonts w:ascii="Arial" w:hAnsi="Arial" w:cs="Arial"/>
                <w:b/>
                <w:sz w:val="22"/>
                <w:szCs w:val="22"/>
              </w:rPr>
              <w:t>1</w:t>
            </w:r>
            <w:r w:rsidR="00887F2C">
              <w:rPr>
                <w:rFonts w:ascii="Arial" w:hAnsi="Arial" w:cs="Arial"/>
                <w:b/>
                <w:sz w:val="22"/>
                <w:szCs w:val="22"/>
              </w:rPr>
              <w:t>.</w:t>
            </w:r>
            <w:r w:rsidR="00BB13AE" w:rsidRPr="00AF1A95">
              <w:rPr>
                <w:rFonts w:ascii="Arial" w:hAnsi="Arial" w:cs="Arial"/>
                <w:b/>
                <w:sz w:val="22"/>
                <w:szCs w:val="22"/>
              </w:rPr>
              <w:t>348</w:t>
            </w:r>
            <w:r w:rsidR="0009329B" w:rsidRPr="00AF1A95">
              <w:rPr>
                <w:rFonts w:ascii="Arial" w:hAnsi="Arial" w:cs="Arial"/>
                <w:b/>
                <w:sz w:val="22"/>
                <w:szCs w:val="22"/>
              </w:rPr>
              <w:t>)</w:t>
            </w:r>
          </w:p>
        </w:tc>
        <w:tc>
          <w:tcPr>
            <w:tcW w:w="3408" w:type="dxa"/>
            <w:vAlign w:val="center"/>
          </w:tcPr>
          <w:p w:rsidR="0009329B" w:rsidRPr="00AF1A95" w:rsidRDefault="0009329B" w:rsidP="00AF1A95">
            <w:pPr>
              <w:spacing w:line="360" w:lineRule="auto"/>
              <w:jc w:val="center"/>
              <w:rPr>
                <w:rFonts w:ascii="Arial" w:hAnsi="Arial" w:cs="Arial"/>
                <w:b/>
              </w:rPr>
            </w:pPr>
            <w:r w:rsidRPr="00AF1A95">
              <w:rPr>
                <w:rFonts w:ascii="Arial" w:hAnsi="Arial" w:cs="Arial"/>
                <w:b/>
                <w:sz w:val="22"/>
                <w:szCs w:val="22"/>
              </w:rPr>
              <w:t>Observaciones</w:t>
            </w:r>
          </w:p>
        </w:tc>
      </w:tr>
      <w:tr w:rsidR="0009329B" w:rsidRPr="00AF1A95" w:rsidTr="00055CCF">
        <w:trPr>
          <w:jc w:val="center"/>
        </w:trPr>
        <w:tc>
          <w:tcPr>
            <w:tcW w:w="9595" w:type="dxa"/>
            <w:gridSpan w:val="3"/>
          </w:tcPr>
          <w:p w:rsidR="0009329B" w:rsidRPr="00AF1A95" w:rsidRDefault="0009329B" w:rsidP="00AF1A95">
            <w:pPr>
              <w:spacing w:line="360" w:lineRule="auto"/>
              <w:jc w:val="center"/>
              <w:rPr>
                <w:rFonts w:ascii="Arial" w:hAnsi="Arial" w:cs="Arial"/>
              </w:rPr>
            </w:pPr>
            <w:r w:rsidRPr="00AF1A95">
              <w:rPr>
                <w:rFonts w:ascii="Arial" w:hAnsi="Arial" w:cs="Arial"/>
                <w:sz w:val="22"/>
                <w:szCs w:val="22"/>
              </w:rPr>
              <w:t xml:space="preserve">La numeración de los artículos del Texto Definitivo corresponde a la numeración original de la Ley </w:t>
            </w:r>
            <w:r w:rsidR="00BB13AE" w:rsidRPr="00AF1A95">
              <w:rPr>
                <w:rFonts w:ascii="Arial" w:hAnsi="Arial" w:cs="Arial"/>
                <w:sz w:val="22"/>
                <w:szCs w:val="22"/>
              </w:rPr>
              <w:t>1</w:t>
            </w:r>
            <w:r w:rsidR="00887F2C">
              <w:rPr>
                <w:rFonts w:ascii="Arial" w:hAnsi="Arial" w:cs="Arial"/>
                <w:sz w:val="22"/>
                <w:szCs w:val="22"/>
              </w:rPr>
              <w:t>.</w:t>
            </w:r>
            <w:r w:rsidR="00BB13AE" w:rsidRPr="00AF1A95">
              <w:rPr>
                <w:rFonts w:ascii="Arial" w:hAnsi="Arial" w:cs="Arial"/>
                <w:sz w:val="22"/>
                <w:szCs w:val="22"/>
              </w:rPr>
              <w:t>348</w:t>
            </w:r>
            <w:r w:rsidRPr="00AF1A95">
              <w:rPr>
                <w:rFonts w:ascii="Arial" w:hAnsi="Arial" w:cs="Arial"/>
                <w:sz w:val="22"/>
                <w:szCs w:val="22"/>
              </w:rPr>
              <w:t>.</w:t>
            </w:r>
          </w:p>
        </w:tc>
      </w:tr>
    </w:tbl>
    <w:p w:rsidR="00055CCF" w:rsidRDefault="00055CCF" w:rsidP="00AF1A95">
      <w:pPr>
        <w:spacing w:line="360" w:lineRule="auto"/>
        <w:rPr>
          <w:rFonts w:ascii="Arial" w:hAnsi="Arial" w:cs="Arial"/>
          <w:b/>
          <w:sz w:val="22"/>
          <w:szCs w:val="22"/>
          <w:u w:val="single"/>
        </w:rPr>
      </w:pPr>
    </w:p>
    <w:p w:rsidR="0009329B" w:rsidRDefault="00F914CB" w:rsidP="00AF1A95">
      <w:pPr>
        <w:spacing w:line="360" w:lineRule="auto"/>
        <w:rPr>
          <w:rFonts w:ascii="Arial" w:hAnsi="Arial" w:cs="Arial"/>
          <w:b/>
          <w:sz w:val="22"/>
          <w:szCs w:val="22"/>
        </w:rPr>
      </w:pPr>
      <w:r w:rsidRPr="00AF1A95">
        <w:rPr>
          <w:rFonts w:ascii="Arial" w:hAnsi="Arial" w:cs="Arial"/>
          <w:b/>
          <w:sz w:val="22"/>
          <w:szCs w:val="22"/>
          <w:u w:val="single"/>
        </w:rPr>
        <w:t>Observaciones Generales</w:t>
      </w:r>
      <w:r w:rsidRPr="00AF1A95">
        <w:rPr>
          <w:rFonts w:ascii="Arial" w:hAnsi="Arial" w:cs="Arial"/>
          <w:b/>
          <w:sz w:val="22"/>
          <w:szCs w:val="22"/>
        </w:rPr>
        <w:t>:</w:t>
      </w:r>
    </w:p>
    <w:p w:rsidR="008662D5" w:rsidRPr="00887F2C" w:rsidRDefault="008662D5" w:rsidP="00887F2C">
      <w:pPr>
        <w:pStyle w:val="Prrafodelista"/>
        <w:numPr>
          <w:ilvl w:val="0"/>
          <w:numId w:val="3"/>
        </w:numPr>
        <w:spacing w:line="360" w:lineRule="auto"/>
        <w:ind w:left="567" w:hanging="567"/>
        <w:jc w:val="both"/>
        <w:rPr>
          <w:rFonts w:ascii="Arial" w:hAnsi="Arial" w:cs="Arial"/>
          <w:sz w:val="22"/>
          <w:szCs w:val="22"/>
          <w:lang w:val="es-AR"/>
        </w:rPr>
      </w:pPr>
      <w:r w:rsidRPr="00887F2C">
        <w:rPr>
          <w:rFonts w:ascii="Arial" w:hAnsi="Arial" w:cs="Arial"/>
          <w:sz w:val="22"/>
          <w:szCs w:val="22"/>
          <w:lang w:val="es-AR"/>
        </w:rPr>
        <w:t>Se deja constancia que las referencias al/los organismos consignados se refieren al/los mencionados en las normas, o a aquellos que actualmente los hubieren sustituido en las atribuciones y funciones previstas en la presente.</w:t>
      </w:r>
    </w:p>
    <w:p w:rsidR="008662D5" w:rsidRPr="00887F2C" w:rsidRDefault="008662D5" w:rsidP="00887F2C">
      <w:pPr>
        <w:pStyle w:val="Prrafodelista"/>
        <w:numPr>
          <w:ilvl w:val="0"/>
          <w:numId w:val="3"/>
        </w:numPr>
        <w:spacing w:line="360" w:lineRule="auto"/>
        <w:ind w:left="567" w:hanging="567"/>
        <w:jc w:val="both"/>
        <w:rPr>
          <w:rFonts w:ascii="Arial" w:hAnsi="Arial" w:cs="Arial"/>
          <w:sz w:val="22"/>
          <w:szCs w:val="22"/>
        </w:rPr>
      </w:pPr>
      <w:r w:rsidRPr="00887F2C">
        <w:rPr>
          <w:rFonts w:ascii="Arial" w:hAnsi="Arial" w:cs="Arial"/>
          <w:sz w:val="22"/>
          <w:szCs w:val="22"/>
          <w:lang w:val="es-AR"/>
        </w:rPr>
        <w:t>En el artículo 7° se eliminó la referencia temporal del Presupuesto General de Gastos y Cálculo de Recursos</w:t>
      </w:r>
      <w:r w:rsidR="001C061A" w:rsidRPr="00887F2C">
        <w:rPr>
          <w:rFonts w:ascii="Arial" w:hAnsi="Arial" w:cs="Arial"/>
          <w:sz w:val="22"/>
          <w:szCs w:val="22"/>
          <w:lang w:val="es-AR"/>
        </w:rPr>
        <w:t>.</w:t>
      </w:r>
    </w:p>
    <w:sectPr w:rsidR="008662D5" w:rsidRPr="00887F2C" w:rsidSect="00AF1A95">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nsid w:val="2C376441"/>
    <w:multiLevelType w:val="hybridMultilevel"/>
    <w:tmpl w:val="9AF2DB1E"/>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42EC28E3"/>
    <w:multiLevelType w:val="hybridMultilevel"/>
    <w:tmpl w:val="941EE44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2">
    <w:abstractNumId w:val="1"/>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2300D"/>
    <w:rsid w:val="00055CCF"/>
    <w:rsid w:val="0009329B"/>
    <w:rsid w:val="0017101A"/>
    <w:rsid w:val="001C061A"/>
    <w:rsid w:val="002B476A"/>
    <w:rsid w:val="002D2DC8"/>
    <w:rsid w:val="00333DA6"/>
    <w:rsid w:val="003A2640"/>
    <w:rsid w:val="004A7641"/>
    <w:rsid w:val="005C0D00"/>
    <w:rsid w:val="005D403A"/>
    <w:rsid w:val="006506AC"/>
    <w:rsid w:val="00666183"/>
    <w:rsid w:val="006B1B39"/>
    <w:rsid w:val="008662D5"/>
    <w:rsid w:val="00887F2C"/>
    <w:rsid w:val="00902025"/>
    <w:rsid w:val="00A476C0"/>
    <w:rsid w:val="00AF1A95"/>
    <w:rsid w:val="00BB13AE"/>
    <w:rsid w:val="00BF0F88"/>
    <w:rsid w:val="00C67C06"/>
    <w:rsid w:val="00CE31FA"/>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887F2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462</Words>
  <Characters>2544</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7</cp:revision>
  <dcterms:created xsi:type="dcterms:W3CDTF">2014-09-03T18:46:00Z</dcterms:created>
  <dcterms:modified xsi:type="dcterms:W3CDTF">2015-09-25T16:05:00Z</dcterms:modified>
</cp:coreProperties>
</file>