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C1" w:rsidRPr="000F6BA6" w:rsidRDefault="00E52AC1" w:rsidP="000F6BA6">
      <w:pPr>
        <w:autoSpaceDE w:val="0"/>
        <w:autoSpaceDN w:val="0"/>
        <w:adjustRightInd w:val="0"/>
        <w:spacing w:after="0" w:line="360" w:lineRule="auto"/>
        <w:jc w:val="both"/>
        <w:rPr>
          <w:rFonts w:ascii="Arial" w:hAnsi="Arial" w:cs="Arial"/>
          <w:b/>
          <w:bCs/>
        </w:rPr>
      </w:pPr>
      <w:r w:rsidRPr="000F6BA6">
        <w:rPr>
          <w:rFonts w:ascii="Arial" w:hAnsi="Arial" w:cs="Arial"/>
          <w:b/>
          <w:bCs/>
        </w:rPr>
        <w:t>2001-12-0216</w:t>
      </w:r>
    </w:p>
    <w:p w:rsidR="00E52AC1" w:rsidRDefault="00E52AC1" w:rsidP="00CE22FE">
      <w:pPr>
        <w:autoSpaceDE w:val="0"/>
        <w:autoSpaceDN w:val="0"/>
        <w:adjustRightInd w:val="0"/>
        <w:spacing w:after="0" w:line="360" w:lineRule="auto"/>
        <w:rPr>
          <w:rFonts w:ascii="Arial" w:hAnsi="Arial" w:cs="Arial"/>
          <w:b/>
          <w:bCs/>
        </w:rPr>
      </w:pPr>
    </w:p>
    <w:p w:rsidR="000F6BA6" w:rsidRDefault="000F6BA6" w:rsidP="00CE22FE">
      <w:pPr>
        <w:autoSpaceDE w:val="0"/>
        <w:autoSpaceDN w:val="0"/>
        <w:adjustRightInd w:val="0"/>
        <w:spacing w:after="0" w:line="360" w:lineRule="auto"/>
        <w:jc w:val="center"/>
        <w:rPr>
          <w:rFonts w:ascii="Arial" w:hAnsi="Arial" w:cs="Arial"/>
          <w:b/>
          <w:bCs/>
        </w:rPr>
      </w:pPr>
      <w:r w:rsidRPr="000F6BA6">
        <w:rPr>
          <w:rFonts w:ascii="Arial" w:hAnsi="Arial" w:cs="Arial"/>
          <w:b/>
          <w:bCs/>
        </w:rPr>
        <w:t>LEY O - Nº 670</w:t>
      </w:r>
    </w:p>
    <w:p w:rsidR="000F6BA6" w:rsidRDefault="000F6BA6" w:rsidP="000F6BA6">
      <w:pPr>
        <w:spacing w:after="0" w:line="360" w:lineRule="auto"/>
        <w:jc w:val="both"/>
        <w:rPr>
          <w:rFonts w:ascii="Arial" w:hAnsi="Arial" w:cs="Arial"/>
          <w:b/>
          <w:bCs/>
        </w:rPr>
      </w:pPr>
    </w:p>
    <w:p w:rsidR="00893263" w:rsidRPr="000F6BA6" w:rsidRDefault="00893263" w:rsidP="000F6BA6">
      <w:pPr>
        <w:spacing w:after="0" w:line="360" w:lineRule="auto"/>
        <w:jc w:val="both"/>
        <w:rPr>
          <w:rFonts w:ascii="Arial" w:hAnsi="Arial" w:cs="Arial"/>
        </w:rPr>
      </w:pPr>
      <w:r w:rsidRPr="000F6BA6">
        <w:rPr>
          <w:rFonts w:ascii="Arial" w:hAnsi="Arial" w:cs="Arial"/>
        </w:rPr>
        <w:t xml:space="preserve">Artículo 1º.- </w:t>
      </w:r>
      <w:proofErr w:type="spellStart"/>
      <w:r w:rsidRPr="000F6BA6">
        <w:rPr>
          <w:rFonts w:ascii="Arial" w:hAnsi="Arial" w:cs="Arial"/>
        </w:rPr>
        <w:t>Autorízase</w:t>
      </w:r>
      <w:proofErr w:type="spellEnd"/>
      <w:r w:rsidRPr="000F6BA6">
        <w:rPr>
          <w:rFonts w:ascii="Arial" w:hAnsi="Arial" w:cs="Arial"/>
        </w:rPr>
        <w:t xml:space="preserve"> al Poder Ejecutivo a la construcción de nuevas líneas de subterráneos que vinculen en su trayecto, entre otros, a los barrios de Barracas, Constitución, Recoleta y Palermo, denominada Línea "F"; los barrios de Retiro, Caballito, Villa del Parque y Agronomía, denominada Línea "G"; y los barrios de Parque </w:t>
      </w:r>
      <w:proofErr w:type="spellStart"/>
      <w:r w:rsidRPr="000F6BA6">
        <w:rPr>
          <w:rFonts w:ascii="Arial" w:hAnsi="Arial" w:cs="Arial"/>
        </w:rPr>
        <w:t>Chacabuco</w:t>
      </w:r>
      <w:proofErr w:type="spellEnd"/>
      <w:r w:rsidRPr="000F6BA6">
        <w:rPr>
          <w:rFonts w:ascii="Arial" w:hAnsi="Arial" w:cs="Arial"/>
        </w:rPr>
        <w:t xml:space="preserve">, Villa Crespo, Palermo, Retiro y/o Núñez, denominada Línea "I", todas a través de las trazas que se adjuntan como </w:t>
      </w:r>
      <w:r w:rsidR="007961B2" w:rsidRPr="000F6BA6">
        <w:rPr>
          <w:rFonts w:ascii="Arial" w:hAnsi="Arial" w:cs="Arial"/>
        </w:rPr>
        <w:t xml:space="preserve">Anexo </w:t>
      </w:r>
      <w:r w:rsidR="000E1773" w:rsidRPr="000F6BA6">
        <w:rPr>
          <w:rFonts w:ascii="Arial" w:hAnsi="Arial" w:cs="Arial"/>
        </w:rPr>
        <w:t>A</w:t>
      </w:r>
      <w:r w:rsidRPr="000F6BA6">
        <w:rPr>
          <w:rFonts w:ascii="Arial" w:hAnsi="Arial" w:cs="Arial"/>
        </w:rPr>
        <w:t xml:space="preserve"> formando parte integrante de la presente ley. </w:t>
      </w:r>
    </w:p>
    <w:p w:rsidR="000F6BA6" w:rsidRDefault="000F6BA6" w:rsidP="000F6BA6">
      <w:pPr>
        <w:spacing w:after="0" w:line="360" w:lineRule="auto"/>
        <w:jc w:val="both"/>
        <w:rPr>
          <w:rFonts w:ascii="Arial" w:hAnsi="Arial" w:cs="Arial"/>
        </w:rPr>
      </w:pPr>
    </w:p>
    <w:p w:rsidR="00893263" w:rsidRPr="000F6BA6" w:rsidRDefault="00893263" w:rsidP="000F6BA6">
      <w:pPr>
        <w:spacing w:after="0" w:line="360" w:lineRule="auto"/>
        <w:jc w:val="both"/>
        <w:rPr>
          <w:rFonts w:ascii="Arial" w:hAnsi="Arial" w:cs="Arial"/>
        </w:rPr>
      </w:pPr>
      <w:r w:rsidRPr="000F6BA6">
        <w:rPr>
          <w:rFonts w:ascii="Arial" w:hAnsi="Arial" w:cs="Arial"/>
        </w:rPr>
        <w:t xml:space="preserve">Artículo 2°.- </w:t>
      </w:r>
      <w:proofErr w:type="spellStart"/>
      <w:r w:rsidRPr="000F6BA6">
        <w:rPr>
          <w:rFonts w:ascii="Arial" w:hAnsi="Arial" w:cs="Arial"/>
        </w:rPr>
        <w:t>Declárase</w:t>
      </w:r>
      <w:proofErr w:type="spellEnd"/>
      <w:r w:rsidRPr="000F6BA6">
        <w:rPr>
          <w:rFonts w:ascii="Arial" w:hAnsi="Arial" w:cs="Arial"/>
        </w:rPr>
        <w:t xml:space="preserve"> de utilidad pública el subsuelo de los bienes necesarios para la ejecución de la obra que se aprueba por la presente ley, en los términos d</w:t>
      </w:r>
      <w:r w:rsidR="000E1773" w:rsidRPr="000F6BA6">
        <w:rPr>
          <w:rFonts w:ascii="Arial" w:hAnsi="Arial" w:cs="Arial"/>
        </w:rPr>
        <w:t xml:space="preserve">el artículo 4° de la Ley N° 238 # </w:t>
      </w:r>
      <w:r w:rsidR="006E2D1F" w:rsidRPr="000F6BA6">
        <w:rPr>
          <w:rFonts w:ascii="Arial" w:hAnsi="Arial" w:cs="Arial"/>
        </w:rPr>
        <w:t>B</w:t>
      </w:r>
      <w:r w:rsidRPr="000F6BA6">
        <w:rPr>
          <w:rFonts w:ascii="Arial" w:hAnsi="Arial" w:cs="Arial"/>
        </w:rPr>
        <w:t>O</w:t>
      </w:r>
      <w:r w:rsidR="006E2D1F" w:rsidRPr="000F6BA6">
        <w:rPr>
          <w:rFonts w:ascii="Arial" w:hAnsi="Arial" w:cs="Arial"/>
        </w:rPr>
        <w:t>CBA</w:t>
      </w:r>
      <w:r w:rsidRPr="000F6BA6">
        <w:rPr>
          <w:rFonts w:ascii="Arial" w:hAnsi="Arial" w:cs="Arial"/>
        </w:rPr>
        <w:t xml:space="preserve"> N° 798.</w:t>
      </w:r>
    </w:p>
    <w:p w:rsidR="000F6BA6" w:rsidRDefault="000F6BA6" w:rsidP="000F6BA6">
      <w:pPr>
        <w:spacing w:after="0" w:line="360" w:lineRule="auto"/>
        <w:jc w:val="both"/>
        <w:rPr>
          <w:rFonts w:ascii="Arial" w:hAnsi="Arial" w:cs="Arial"/>
        </w:rPr>
      </w:pPr>
    </w:p>
    <w:p w:rsidR="00893263" w:rsidRPr="000F6BA6" w:rsidRDefault="00893263" w:rsidP="000F6BA6">
      <w:pPr>
        <w:spacing w:after="0" w:line="360" w:lineRule="auto"/>
        <w:jc w:val="both"/>
        <w:rPr>
          <w:rFonts w:ascii="Arial" w:hAnsi="Arial" w:cs="Arial"/>
        </w:rPr>
      </w:pPr>
      <w:r w:rsidRPr="000F6BA6">
        <w:rPr>
          <w:rFonts w:ascii="Arial" w:hAnsi="Arial" w:cs="Arial"/>
        </w:rPr>
        <w:t xml:space="preserve">Artículo 3°.- </w:t>
      </w:r>
      <w:proofErr w:type="spellStart"/>
      <w:r w:rsidRPr="000F6BA6">
        <w:rPr>
          <w:rFonts w:ascii="Arial" w:hAnsi="Arial" w:cs="Arial"/>
        </w:rPr>
        <w:t>Autorízase</w:t>
      </w:r>
      <w:proofErr w:type="spellEnd"/>
      <w:r w:rsidRPr="000F6BA6">
        <w:rPr>
          <w:rFonts w:ascii="Arial" w:hAnsi="Arial" w:cs="Arial"/>
        </w:rPr>
        <w:t xml:space="preserve"> al Poder Ejecutivo, por intermedio de Subterráneos de Buenos Aires Sociedad del Estado (SBASE) a efectuar los llamados a Licitación Pública para la construcción de las líneas de subterráneo F, G, I y de las obras correspondientes a la línea H. </w:t>
      </w:r>
      <w:r w:rsidR="000E1773" w:rsidRPr="000F6BA6">
        <w:rPr>
          <w:rFonts w:ascii="Arial" w:hAnsi="Arial" w:cs="Arial"/>
        </w:rPr>
        <w:t xml:space="preserve"> </w:t>
      </w:r>
      <w:proofErr w:type="spellStart"/>
      <w:r w:rsidRPr="000F6BA6">
        <w:rPr>
          <w:rFonts w:ascii="Arial" w:hAnsi="Arial" w:cs="Arial"/>
        </w:rPr>
        <w:t>Autorízase</w:t>
      </w:r>
      <w:proofErr w:type="spellEnd"/>
      <w:r w:rsidRPr="000F6BA6">
        <w:rPr>
          <w:rFonts w:ascii="Arial" w:hAnsi="Arial" w:cs="Arial"/>
        </w:rPr>
        <w:t xml:space="preserve"> al Poder Ejecutivo a efectuar los aportes del valor total de las inversiones para las construcciones antedichas, las que </w:t>
      </w:r>
      <w:r w:rsidR="0086007A" w:rsidRPr="000F6BA6">
        <w:rPr>
          <w:rFonts w:ascii="Arial" w:hAnsi="Arial" w:cs="Arial"/>
        </w:rPr>
        <w:t xml:space="preserve">incluyen toda la infraestructura necesaria </w:t>
      </w:r>
      <w:proofErr w:type="gramStart"/>
      <w:r w:rsidR="0086007A" w:rsidRPr="000F6BA6">
        <w:rPr>
          <w:rFonts w:ascii="Arial" w:hAnsi="Arial" w:cs="Arial"/>
        </w:rPr>
        <w:t>mas</w:t>
      </w:r>
      <w:proofErr w:type="gramEnd"/>
      <w:r w:rsidR="0086007A" w:rsidRPr="000F6BA6">
        <w:rPr>
          <w:rFonts w:ascii="Arial" w:hAnsi="Arial" w:cs="Arial"/>
        </w:rPr>
        <w:t xml:space="preserve"> el material rodante para garantizar este servicio público</w:t>
      </w:r>
      <w:r w:rsidR="000E1773" w:rsidRPr="000F6BA6">
        <w:rPr>
          <w:rFonts w:ascii="Arial" w:hAnsi="Arial" w:cs="Arial"/>
        </w:rPr>
        <w:t>.</w:t>
      </w:r>
    </w:p>
    <w:p w:rsidR="000F6BA6" w:rsidRDefault="000F6BA6" w:rsidP="000F6BA6">
      <w:pPr>
        <w:spacing w:after="0" w:line="360" w:lineRule="auto"/>
        <w:jc w:val="both"/>
        <w:rPr>
          <w:rFonts w:ascii="Arial" w:hAnsi="Arial" w:cs="Arial"/>
        </w:rPr>
      </w:pPr>
    </w:p>
    <w:p w:rsidR="000E1773" w:rsidRPr="000F6BA6" w:rsidRDefault="00893263" w:rsidP="000F6BA6">
      <w:pPr>
        <w:spacing w:after="0" w:line="360" w:lineRule="auto"/>
        <w:jc w:val="both"/>
        <w:rPr>
          <w:rFonts w:ascii="Arial" w:hAnsi="Arial" w:cs="Arial"/>
        </w:rPr>
      </w:pPr>
      <w:r w:rsidRPr="000F6BA6">
        <w:rPr>
          <w:rFonts w:ascii="Arial" w:hAnsi="Arial" w:cs="Arial"/>
        </w:rPr>
        <w:t xml:space="preserve">Artículo 4°.- El Poder Ejecutivo, por intermedio de Subterráneos de Buenos Aires Sociedad del Estado (SBASE), podrá prestar por si los servicios, o efectuará los llamados a Licitación Pública para la operación de las líneas F, G H e, I, mediante </w:t>
      </w:r>
      <w:r w:rsidR="0086007A" w:rsidRPr="000F6BA6">
        <w:rPr>
          <w:rFonts w:ascii="Arial" w:hAnsi="Arial" w:cs="Arial"/>
        </w:rPr>
        <w:t xml:space="preserve"> los mecanismos de concesión o gerenciamiento</w:t>
      </w:r>
      <w:r w:rsidR="000E1773" w:rsidRPr="000F6BA6">
        <w:rPr>
          <w:rFonts w:ascii="Arial" w:hAnsi="Arial" w:cs="Arial"/>
        </w:rPr>
        <w:t>.</w:t>
      </w:r>
    </w:p>
    <w:p w:rsidR="000F6BA6" w:rsidRDefault="000F6BA6" w:rsidP="000F6BA6">
      <w:pPr>
        <w:spacing w:after="0" w:line="360" w:lineRule="auto"/>
        <w:jc w:val="both"/>
        <w:rPr>
          <w:rFonts w:ascii="Arial" w:hAnsi="Arial" w:cs="Arial"/>
        </w:rPr>
      </w:pPr>
    </w:p>
    <w:p w:rsidR="000E1773" w:rsidRPr="000F6BA6" w:rsidRDefault="00893263" w:rsidP="000F6BA6">
      <w:pPr>
        <w:spacing w:after="0" w:line="360" w:lineRule="auto"/>
        <w:jc w:val="both"/>
        <w:rPr>
          <w:rFonts w:ascii="Arial" w:hAnsi="Arial" w:cs="Arial"/>
        </w:rPr>
      </w:pPr>
      <w:r w:rsidRPr="000F6BA6">
        <w:rPr>
          <w:rFonts w:ascii="Arial" w:hAnsi="Arial" w:cs="Arial"/>
        </w:rPr>
        <w:t xml:space="preserve">Artículo 5°.- </w:t>
      </w:r>
      <w:r w:rsidR="0086007A" w:rsidRPr="000F6BA6">
        <w:rPr>
          <w:rFonts w:ascii="Arial" w:hAnsi="Arial" w:cs="Arial"/>
        </w:rPr>
        <w:t>La tarifa será</w:t>
      </w:r>
      <w:r w:rsidRPr="000F6BA6">
        <w:rPr>
          <w:rFonts w:ascii="Arial" w:hAnsi="Arial" w:cs="Arial"/>
        </w:rPr>
        <w:t xml:space="preserve"> única para viajes en toda la red, incluyendo las líneas existentes y a construir, mas los viajes combinados entre cualesquiera de ellas, con independencia de las empresas o entidades que la operen. En caso que la tarifa de este servicio público no llegue a cubrir los costos operativos y de mantenimiento, el Poder Ejecutivo podrá proponer a la Legislatura de la Ciudad Autónoma de Buenos Aires una política de subsidios a la tarifa. El Ente Regulador de los Servicios Públicos analizará la base de cálculo del sistema tarifario, según </w:t>
      </w:r>
      <w:r w:rsidR="0086007A" w:rsidRPr="000F6BA6">
        <w:rPr>
          <w:rFonts w:ascii="Arial" w:hAnsi="Arial" w:cs="Arial"/>
        </w:rPr>
        <w:t>lo establece la Ley N° 210</w:t>
      </w:r>
      <w:r w:rsidR="000E1773" w:rsidRPr="000F6BA6">
        <w:rPr>
          <w:rFonts w:ascii="Arial" w:hAnsi="Arial" w:cs="Arial"/>
        </w:rPr>
        <w:t xml:space="preserve"> #.</w:t>
      </w:r>
    </w:p>
    <w:p w:rsidR="000F6BA6" w:rsidRDefault="000F6BA6" w:rsidP="000F6BA6">
      <w:pPr>
        <w:spacing w:after="0" w:line="360" w:lineRule="auto"/>
        <w:jc w:val="both"/>
        <w:rPr>
          <w:rFonts w:ascii="Arial" w:hAnsi="Arial" w:cs="Arial"/>
        </w:rPr>
      </w:pPr>
    </w:p>
    <w:p w:rsidR="00893263" w:rsidRPr="000F6BA6" w:rsidRDefault="00893263" w:rsidP="000F6BA6">
      <w:pPr>
        <w:spacing w:after="0" w:line="360" w:lineRule="auto"/>
        <w:jc w:val="both"/>
        <w:rPr>
          <w:rFonts w:ascii="Arial" w:hAnsi="Arial" w:cs="Arial"/>
        </w:rPr>
      </w:pPr>
      <w:r w:rsidRPr="000F6BA6">
        <w:rPr>
          <w:rFonts w:ascii="Arial" w:hAnsi="Arial" w:cs="Arial"/>
        </w:rPr>
        <w:t xml:space="preserve">Artículo 6º.- El Poder Ejecutivo podrá disponer modificaciones que no impliquen una variación mayor del </w:t>
      </w:r>
      <w:r w:rsidR="000E1773" w:rsidRPr="000F6BA6">
        <w:rPr>
          <w:rFonts w:ascii="Arial" w:hAnsi="Arial" w:cs="Arial"/>
        </w:rPr>
        <w:t>veinte (</w:t>
      </w:r>
      <w:r w:rsidRPr="000F6BA6">
        <w:rPr>
          <w:rFonts w:ascii="Arial" w:hAnsi="Arial" w:cs="Arial"/>
        </w:rPr>
        <w:t>20</w:t>
      </w:r>
      <w:r w:rsidR="000E1773" w:rsidRPr="000F6BA6">
        <w:rPr>
          <w:rFonts w:ascii="Arial" w:hAnsi="Arial" w:cs="Arial"/>
        </w:rPr>
        <w:t>)</w:t>
      </w:r>
      <w:r w:rsidRPr="000F6BA6">
        <w:rPr>
          <w:rFonts w:ascii="Arial" w:hAnsi="Arial" w:cs="Arial"/>
        </w:rPr>
        <w:t xml:space="preserve"> por ciento de las trazas aprobadas por la presente ley. Tales modificaciones </w:t>
      </w:r>
      <w:r w:rsidRPr="000F6BA6">
        <w:rPr>
          <w:rFonts w:ascii="Arial" w:hAnsi="Arial" w:cs="Arial"/>
        </w:rPr>
        <w:lastRenderedPageBreak/>
        <w:t>podrán ser realizadas atendiendo razones de interferencia, la mayor combinación e integración de la traza con las líneas ferroviarias existentes y con el sector aeroportuario, el mejor acceso a la zona sur y la ribera del Riachuelo.</w:t>
      </w:r>
    </w:p>
    <w:p w:rsidR="000F6BA6" w:rsidRDefault="000F6BA6" w:rsidP="000F6BA6">
      <w:pPr>
        <w:spacing w:after="0" w:line="360" w:lineRule="auto"/>
        <w:jc w:val="both"/>
        <w:rPr>
          <w:rFonts w:ascii="Arial" w:hAnsi="Arial" w:cs="Arial"/>
        </w:rPr>
      </w:pPr>
    </w:p>
    <w:p w:rsidR="000E1773" w:rsidRPr="000F6BA6" w:rsidRDefault="00893263" w:rsidP="000F6BA6">
      <w:pPr>
        <w:spacing w:after="0" w:line="360" w:lineRule="auto"/>
        <w:jc w:val="both"/>
        <w:rPr>
          <w:rFonts w:ascii="Arial" w:hAnsi="Arial" w:cs="Arial"/>
        </w:rPr>
      </w:pPr>
      <w:r w:rsidRPr="000F6BA6">
        <w:rPr>
          <w:rFonts w:ascii="Arial" w:hAnsi="Arial" w:cs="Arial"/>
        </w:rPr>
        <w:t xml:space="preserve">Artículo 7°- </w:t>
      </w:r>
      <w:r w:rsidR="00273425" w:rsidRPr="000F6BA6">
        <w:rPr>
          <w:rFonts w:ascii="Arial" w:hAnsi="Arial" w:cs="Arial"/>
        </w:rPr>
        <w:t xml:space="preserve">Créase la </w:t>
      </w:r>
      <w:r w:rsidR="000E1773" w:rsidRPr="000F6BA6">
        <w:rPr>
          <w:rFonts w:ascii="Arial" w:hAnsi="Arial" w:cs="Arial"/>
        </w:rPr>
        <w:t>C</w:t>
      </w:r>
      <w:r w:rsidR="00273425" w:rsidRPr="000F6BA6">
        <w:rPr>
          <w:rFonts w:ascii="Arial" w:hAnsi="Arial" w:cs="Arial"/>
        </w:rPr>
        <w:t xml:space="preserve">omisión </w:t>
      </w:r>
      <w:r w:rsidR="000E1773" w:rsidRPr="000F6BA6">
        <w:rPr>
          <w:rFonts w:ascii="Arial" w:hAnsi="Arial" w:cs="Arial"/>
        </w:rPr>
        <w:t>Mixta de S</w:t>
      </w:r>
      <w:r w:rsidR="00273425" w:rsidRPr="000F6BA6">
        <w:rPr>
          <w:rFonts w:ascii="Arial" w:hAnsi="Arial" w:cs="Arial"/>
        </w:rPr>
        <w:t>eguimiento de la licitación y las obras del proyecto a ser desarrollado por el Poder Ejecutivo, a través de su sociedad Subterráneos de Buenos Aires Sociedad del Estado (SBASE) la que deberá informar bimestralmente a la Legislatura sobre el avance y ejecución de las mismas a partir de la entrada en vigencia de la presente. La comisión se integrará por dos representantes .de Subterráneos de Buenos Aires Sociedad del Estado (SB</w:t>
      </w:r>
      <w:r w:rsidR="000E1773" w:rsidRPr="000F6BA6">
        <w:rPr>
          <w:rFonts w:ascii="Arial" w:hAnsi="Arial" w:cs="Arial"/>
        </w:rPr>
        <w:t>ASE) y quince legisladores. La C</w:t>
      </w:r>
      <w:r w:rsidR="00273425" w:rsidRPr="000F6BA6">
        <w:rPr>
          <w:rFonts w:ascii="Arial" w:hAnsi="Arial" w:cs="Arial"/>
        </w:rPr>
        <w:t>omisión deberá desarrollar reuniones trimestrales con los representantes de los trabajadores de subterráneos y con las asociaciones de consumidores y usuarios. La Ley de Presupuesto deberá determinar los fondos a asignar a esta comisión, los que permitirán contar con el asesoramiento de especialistas para el desarrollo de sus tareas.</w:t>
      </w:r>
      <w:r w:rsidR="00273425" w:rsidRPr="000F6BA6">
        <w:rPr>
          <w:rStyle w:val="nfasis"/>
          <w:rFonts w:ascii="Arial" w:hAnsi="Arial" w:cs="Arial"/>
        </w:rPr>
        <w:t xml:space="preserve"> </w:t>
      </w:r>
      <w:r w:rsidR="00273425" w:rsidRPr="000F6BA6">
        <w:rPr>
          <w:rStyle w:val="nfasis"/>
          <w:rFonts w:ascii="Arial" w:hAnsi="Arial" w:cs="Arial"/>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5127"/>
        <w:gridCol w:w="3816"/>
      </w:tblGrid>
      <w:tr w:rsidR="00273425" w:rsidRPr="000F6BA6" w:rsidTr="00CE22FE">
        <w:trPr>
          <w:cantSplit/>
          <w:trHeight w:val="1134"/>
          <w:jc w:val="center"/>
        </w:trPr>
        <w:tc>
          <w:tcPr>
            <w:tcW w:w="8943" w:type="dxa"/>
            <w:gridSpan w:val="2"/>
            <w:vAlign w:val="center"/>
          </w:tcPr>
          <w:p w:rsidR="000E1773" w:rsidRPr="000F6BA6" w:rsidRDefault="000E1773" w:rsidP="00CE22FE">
            <w:pPr>
              <w:spacing w:before="240" w:after="0" w:line="360" w:lineRule="auto"/>
              <w:jc w:val="center"/>
              <w:outlineLvl w:val="1"/>
              <w:rPr>
                <w:rFonts w:ascii="Arial" w:hAnsi="Arial" w:cs="Arial"/>
                <w:b/>
                <w:bCs/>
              </w:rPr>
            </w:pPr>
            <w:r w:rsidRPr="000F6BA6">
              <w:rPr>
                <w:rFonts w:ascii="Arial" w:hAnsi="Arial" w:cs="Arial"/>
                <w:b/>
                <w:bCs/>
              </w:rPr>
              <w:t>LEY O- N° 670</w:t>
            </w:r>
          </w:p>
          <w:p w:rsidR="00273425" w:rsidRPr="000F6BA6" w:rsidRDefault="00273425" w:rsidP="00CE22FE">
            <w:pPr>
              <w:spacing w:after="0" w:line="360" w:lineRule="auto"/>
              <w:jc w:val="center"/>
              <w:outlineLvl w:val="1"/>
              <w:rPr>
                <w:rFonts w:ascii="Arial" w:hAnsi="Arial" w:cs="Arial"/>
                <w:b/>
              </w:rPr>
            </w:pPr>
            <w:r w:rsidRPr="000F6BA6">
              <w:rPr>
                <w:rFonts w:ascii="Arial" w:hAnsi="Arial" w:cs="Arial"/>
                <w:b/>
                <w:bCs/>
              </w:rPr>
              <w:t>TABLA DE ANTECEDENTE</w:t>
            </w:r>
            <w:r w:rsidR="00E76128" w:rsidRPr="000F6BA6">
              <w:rPr>
                <w:rFonts w:ascii="Arial" w:hAnsi="Arial" w:cs="Arial"/>
                <w:b/>
                <w:bCs/>
              </w:rPr>
              <w:t>S</w:t>
            </w:r>
          </w:p>
        </w:tc>
      </w:tr>
      <w:tr w:rsidR="00273425" w:rsidRPr="000F6BA6" w:rsidTr="00CE22FE">
        <w:trPr>
          <w:trHeight w:val="634"/>
          <w:jc w:val="center"/>
        </w:trPr>
        <w:tc>
          <w:tcPr>
            <w:tcW w:w="5127" w:type="dxa"/>
            <w:vAlign w:val="center"/>
          </w:tcPr>
          <w:p w:rsidR="00273425" w:rsidRPr="000F6BA6" w:rsidRDefault="000E1773" w:rsidP="00CE22FE">
            <w:pPr>
              <w:spacing w:after="0" w:line="360" w:lineRule="auto"/>
              <w:jc w:val="center"/>
              <w:rPr>
                <w:rFonts w:ascii="Arial" w:hAnsi="Arial" w:cs="Arial"/>
                <w:b/>
              </w:rPr>
            </w:pPr>
            <w:r w:rsidRPr="000F6BA6">
              <w:rPr>
                <w:rFonts w:ascii="Arial" w:hAnsi="Arial" w:cs="Arial"/>
                <w:b/>
              </w:rPr>
              <w:t xml:space="preserve">Número de </w:t>
            </w:r>
            <w:r w:rsidR="00273425" w:rsidRPr="000F6BA6">
              <w:rPr>
                <w:rFonts w:ascii="Arial" w:hAnsi="Arial" w:cs="Arial"/>
                <w:b/>
              </w:rPr>
              <w:t xml:space="preserve">Artículo del Texto </w:t>
            </w:r>
            <w:r w:rsidRPr="000F6BA6">
              <w:rPr>
                <w:rFonts w:ascii="Arial" w:hAnsi="Arial" w:cs="Arial"/>
                <w:b/>
              </w:rPr>
              <w:t>Definitivo</w:t>
            </w:r>
          </w:p>
        </w:tc>
        <w:tc>
          <w:tcPr>
            <w:tcW w:w="3816" w:type="dxa"/>
            <w:vAlign w:val="center"/>
          </w:tcPr>
          <w:p w:rsidR="00273425" w:rsidRPr="000F6BA6" w:rsidRDefault="00273425" w:rsidP="00CE22FE">
            <w:pPr>
              <w:spacing w:after="0" w:line="360" w:lineRule="auto"/>
              <w:jc w:val="center"/>
              <w:rPr>
                <w:rFonts w:ascii="Arial" w:hAnsi="Arial" w:cs="Arial"/>
                <w:b/>
              </w:rPr>
            </w:pPr>
            <w:r w:rsidRPr="000F6BA6">
              <w:rPr>
                <w:rFonts w:ascii="Arial" w:hAnsi="Arial" w:cs="Arial"/>
                <w:b/>
              </w:rPr>
              <w:t>Fuente</w:t>
            </w:r>
          </w:p>
        </w:tc>
      </w:tr>
      <w:tr w:rsidR="00035896" w:rsidRPr="000F6BA6" w:rsidTr="00CE22FE">
        <w:trPr>
          <w:trHeight w:val="340"/>
          <w:jc w:val="center"/>
        </w:trPr>
        <w:tc>
          <w:tcPr>
            <w:tcW w:w="5127" w:type="dxa"/>
            <w:vAlign w:val="center"/>
          </w:tcPr>
          <w:p w:rsidR="00035896" w:rsidRPr="000F6BA6" w:rsidRDefault="00035896" w:rsidP="00CE22FE">
            <w:pPr>
              <w:spacing w:after="0" w:line="360" w:lineRule="auto"/>
              <w:jc w:val="center"/>
              <w:rPr>
                <w:rFonts w:ascii="Arial" w:hAnsi="Arial" w:cs="Arial"/>
              </w:rPr>
            </w:pPr>
            <w:r w:rsidRPr="000F6BA6">
              <w:rPr>
                <w:rFonts w:ascii="Arial" w:hAnsi="Arial" w:cs="Arial"/>
              </w:rPr>
              <w:t>1 / 2</w:t>
            </w:r>
          </w:p>
        </w:tc>
        <w:tc>
          <w:tcPr>
            <w:tcW w:w="3816" w:type="dxa"/>
            <w:vAlign w:val="center"/>
          </w:tcPr>
          <w:p w:rsidR="00035896" w:rsidRPr="000F6BA6" w:rsidRDefault="00035896" w:rsidP="00CE22FE">
            <w:pPr>
              <w:spacing w:after="0" w:line="360" w:lineRule="auto"/>
              <w:jc w:val="center"/>
              <w:rPr>
                <w:rFonts w:ascii="Arial" w:hAnsi="Arial" w:cs="Arial"/>
              </w:rPr>
            </w:pPr>
            <w:r w:rsidRPr="000F6BA6">
              <w:rPr>
                <w:rFonts w:ascii="Arial" w:hAnsi="Arial" w:cs="Arial"/>
              </w:rPr>
              <w:t>Texto Original</w:t>
            </w:r>
          </w:p>
        </w:tc>
      </w:tr>
      <w:tr w:rsidR="00035896" w:rsidRPr="000F6BA6" w:rsidTr="00CE22FE">
        <w:trPr>
          <w:trHeight w:val="340"/>
          <w:jc w:val="center"/>
        </w:trPr>
        <w:tc>
          <w:tcPr>
            <w:tcW w:w="5127" w:type="dxa"/>
            <w:vAlign w:val="center"/>
          </w:tcPr>
          <w:p w:rsidR="00035896" w:rsidRPr="000F6BA6" w:rsidRDefault="00035896" w:rsidP="00CE22FE">
            <w:pPr>
              <w:spacing w:after="0" w:line="360" w:lineRule="auto"/>
              <w:jc w:val="center"/>
              <w:rPr>
                <w:rFonts w:ascii="Arial" w:hAnsi="Arial" w:cs="Arial"/>
              </w:rPr>
            </w:pPr>
            <w:r w:rsidRPr="000F6BA6">
              <w:rPr>
                <w:rFonts w:ascii="Arial" w:hAnsi="Arial" w:cs="Arial"/>
              </w:rPr>
              <w:t>3</w:t>
            </w:r>
          </w:p>
        </w:tc>
        <w:tc>
          <w:tcPr>
            <w:tcW w:w="3816" w:type="dxa"/>
            <w:vAlign w:val="center"/>
          </w:tcPr>
          <w:p w:rsidR="00035896" w:rsidRPr="000F6BA6" w:rsidRDefault="00035896" w:rsidP="00CE22FE">
            <w:pPr>
              <w:spacing w:after="0" w:line="360" w:lineRule="auto"/>
              <w:jc w:val="center"/>
              <w:rPr>
                <w:rFonts w:ascii="Arial" w:hAnsi="Arial" w:cs="Arial"/>
              </w:rPr>
            </w:pPr>
            <w:r w:rsidRPr="000F6BA6">
              <w:rPr>
                <w:rFonts w:ascii="Arial" w:hAnsi="Arial" w:cs="Arial"/>
              </w:rPr>
              <w:t>Ley 2710, Art. 1°</w:t>
            </w:r>
          </w:p>
        </w:tc>
      </w:tr>
      <w:tr w:rsidR="00035896" w:rsidRPr="000F6BA6" w:rsidTr="00CE22FE">
        <w:trPr>
          <w:trHeight w:val="340"/>
          <w:jc w:val="center"/>
        </w:trPr>
        <w:tc>
          <w:tcPr>
            <w:tcW w:w="5127"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4</w:t>
            </w:r>
          </w:p>
        </w:tc>
        <w:tc>
          <w:tcPr>
            <w:tcW w:w="3816"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Ley 2710, Art. 2°</w:t>
            </w:r>
          </w:p>
        </w:tc>
      </w:tr>
      <w:tr w:rsidR="00035896" w:rsidRPr="000F6BA6" w:rsidTr="00CE22FE">
        <w:trPr>
          <w:trHeight w:val="340"/>
          <w:jc w:val="center"/>
        </w:trPr>
        <w:tc>
          <w:tcPr>
            <w:tcW w:w="5127"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5</w:t>
            </w:r>
          </w:p>
        </w:tc>
        <w:tc>
          <w:tcPr>
            <w:tcW w:w="3816"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Ley 2710, Art. 3°</w:t>
            </w:r>
          </w:p>
        </w:tc>
      </w:tr>
      <w:tr w:rsidR="00035896" w:rsidRPr="000F6BA6" w:rsidTr="00CE22FE">
        <w:trPr>
          <w:trHeight w:val="340"/>
          <w:jc w:val="center"/>
        </w:trPr>
        <w:tc>
          <w:tcPr>
            <w:tcW w:w="5127"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6</w:t>
            </w:r>
          </w:p>
        </w:tc>
        <w:tc>
          <w:tcPr>
            <w:tcW w:w="3816"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Texto Original</w:t>
            </w:r>
          </w:p>
        </w:tc>
      </w:tr>
      <w:tr w:rsidR="006C7277" w:rsidRPr="000F6BA6" w:rsidTr="00CE22FE">
        <w:trPr>
          <w:trHeight w:val="340"/>
          <w:jc w:val="center"/>
        </w:trPr>
        <w:tc>
          <w:tcPr>
            <w:tcW w:w="5127"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7</w:t>
            </w:r>
          </w:p>
        </w:tc>
        <w:tc>
          <w:tcPr>
            <w:tcW w:w="3816" w:type="dxa"/>
            <w:vAlign w:val="center"/>
          </w:tcPr>
          <w:p w:rsidR="006C7277" w:rsidRPr="000F6BA6" w:rsidRDefault="006C7277" w:rsidP="00CE22FE">
            <w:pPr>
              <w:spacing w:after="0" w:line="360" w:lineRule="auto"/>
              <w:jc w:val="center"/>
              <w:rPr>
                <w:rFonts w:ascii="Arial" w:hAnsi="Arial" w:cs="Arial"/>
              </w:rPr>
            </w:pPr>
            <w:r w:rsidRPr="000F6BA6">
              <w:rPr>
                <w:rFonts w:ascii="Arial" w:hAnsi="Arial" w:cs="Arial"/>
              </w:rPr>
              <w:t>Ley 4240, Art. 1°</w:t>
            </w:r>
          </w:p>
        </w:tc>
      </w:tr>
    </w:tbl>
    <w:p w:rsidR="000B58A8" w:rsidRPr="000F6BA6" w:rsidRDefault="000B58A8" w:rsidP="000F6BA6">
      <w:pPr>
        <w:spacing w:after="0" w:line="360" w:lineRule="auto"/>
        <w:rPr>
          <w:rFonts w:ascii="Arial" w:hAnsi="Arial" w:cs="Arial"/>
        </w:rPr>
      </w:pPr>
    </w:p>
    <w:p w:rsidR="000B58A8" w:rsidRPr="000F6BA6" w:rsidRDefault="000B58A8" w:rsidP="000F6BA6">
      <w:pPr>
        <w:spacing w:after="0" w:line="360" w:lineRule="auto"/>
        <w:rPr>
          <w:rFonts w:ascii="Arial" w:hAnsi="Arial" w:cs="Arial"/>
          <w:b/>
        </w:rPr>
      </w:pPr>
      <w:r w:rsidRPr="000F6BA6">
        <w:rPr>
          <w:rFonts w:ascii="Arial" w:hAnsi="Arial" w:cs="Arial"/>
          <w:b/>
        </w:rPr>
        <w:t>Artículos Suprimidos</w:t>
      </w:r>
    </w:p>
    <w:p w:rsidR="000B58A8" w:rsidRPr="000F6BA6" w:rsidRDefault="000B58A8" w:rsidP="000F6BA6">
      <w:pPr>
        <w:spacing w:after="0" w:line="360" w:lineRule="auto"/>
        <w:ind w:left="3540" w:hanging="3540"/>
        <w:rPr>
          <w:rFonts w:ascii="Arial" w:hAnsi="Arial" w:cs="Arial"/>
        </w:rPr>
      </w:pPr>
      <w:r w:rsidRPr="00CE22FE">
        <w:rPr>
          <w:rFonts w:ascii="Arial" w:hAnsi="Arial" w:cs="Arial"/>
          <w:b/>
        </w:rPr>
        <w:t>Anterior</w:t>
      </w:r>
      <w:r w:rsidR="00E81B91" w:rsidRPr="00CE22FE">
        <w:rPr>
          <w:rFonts w:ascii="Arial" w:hAnsi="Arial" w:cs="Arial"/>
          <w:b/>
        </w:rPr>
        <w:t xml:space="preserve"> a</w:t>
      </w:r>
      <w:r w:rsidRPr="00CE22FE">
        <w:rPr>
          <w:rFonts w:ascii="Arial" w:hAnsi="Arial" w:cs="Arial"/>
          <w:b/>
        </w:rPr>
        <w:t>rt</w:t>
      </w:r>
      <w:r w:rsidR="000F6BA6" w:rsidRPr="00CE22FE">
        <w:rPr>
          <w:rFonts w:ascii="Arial" w:hAnsi="Arial" w:cs="Arial"/>
          <w:b/>
        </w:rPr>
        <w:t>ículo</w:t>
      </w:r>
      <w:r w:rsidRPr="00CE22FE">
        <w:rPr>
          <w:rFonts w:ascii="Arial" w:hAnsi="Arial" w:cs="Arial"/>
          <w:b/>
        </w:rPr>
        <w:t xml:space="preserve"> 8</w:t>
      </w:r>
      <w:r w:rsidR="00CE22FE">
        <w:rPr>
          <w:rFonts w:ascii="Arial" w:hAnsi="Arial" w:cs="Arial"/>
          <w:b/>
        </w:rPr>
        <w:t>:</w:t>
      </w:r>
      <w:r w:rsidR="000F6BA6">
        <w:rPr>
          <w:rFonts w:ascii="Arial" w:hAnsi="Arial" w:cs="Arial"/>
        </w:rPr>
        <w:t xml:space="preserve"> </w:t>
      </w:r>
      <w:r w:rsidRPr="000F6BA6">
        <w:rPr>
          <w:rFonts w:ascii="Arial" w:hAnsi="Arial" w:cs="Arial"/>
        </w:rPr>
        <w:t>Caduco por Objeto Cumplido</w:t>
      </w:r>
      <w:r w:rsidR="00CE22FE">
        <w:rPr>
          <w:rFonts w:ascii="Arial" w:hAnsi="Arial" w:cs="Arial"/>
        </w:rPr>
        <w:t>.</w:t>
      </w:r>
    </w:p>
    <w:p w:rsidR="000B58A8" w:rsidRPr="000F6BA6" w:rsidRDefault="000B58A8" w:rsidP="000F6BA6">
      <w:pPr>
        <w:spacing w:after="0" w:line="360" w:lineRule="auto"/>
        <w:rPr>
          <w:rFonts w:ascii="Arial" w:hAnsi="Arial" w:cs="Arial"/>
        </w:rPr>
      </w:pPr>
    </w:p>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573"/>
        <w:gridCol w:w="2517"/>
      </w:tblGrid>
      <w:tr w:rsidR="00711E14" w:rsidRPr="000F6BA6" w:rsidTr="00CE22FE">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711E14" w:rsidRPr="000F6BA6" w:rsidRDefault="00711E14" w:rsidP="00CE22FE">
            <w:pPr>
              <w:pStyle w:val="Textosinformato"/>
              <w:spacing w:before="240" w:line="360" w:lineRule="auto"/>
              <w:jc w:val="center"/>
              <w:rPr>
                <w:rFonts w:ascii="Arial" w:hAnsi="Arial" w:cs="Arial"/>
                <w:sz w:val="22"/>
                <w:szCs w:val="22"/>
                <w:u w:val="single"/>
              </w:rPr>
            </w:pPr>
            <w:r w:rsidRPr="000F6BA6">
              <w:rPr>
                <w:rFonts w:ascii="Arial" w:hAnsi="Arial" w:cs="Arial"/>
                <w:b/>
                <w:sz w:val="22"/>
                <w:szCs w:val="22"/>
              </w:rPr>
              <w:t>LEY  O - N° 670</w:t>
            </w:r>
          </w:p>
          <w:p w:rsidR="00711E14" w:rsidRPr="000F6BA6" w:rsidRDefault="00711E14" w:rsidP="00CE22FE">
            <w:pPr>
              <w:pStyle w:val="Textosinformato"/>
              <w:spacing w:line="360" w:lineRule="auto"/>
              <w:jc w:val="center"/>
              <w:rPr>
                <w:rFonts w:ascii="Arial" w:hAnsi="Arial" w:cs="Arial"/>
                <w:sz w:val="22"/>
                <w:szCs w:val="22"/>
              </w:rPr>
            </w:pPr>
            <w:r w:rsidRPr="000F6BA6">
              <w:rPr>
                <w:rFonts w:ascii="Arial" w:hAnsi="Arial" w:cs="Arial"/>
                <w:b/>
                <w:sz w:val="22"/>
                <w:szCs w:val="22"/>
              </w:rPr>
              <w:t>TABLA DE EQUIVALENCIAS</w:t>
            </w:r>
          </w:p>
        </w:tc>
      </w:tr>
      <w:tr w:rsidR="00711E14" w:rsidRPr="000F6BA6" w:rsidTr="00CE22FE">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711E14" w:rsidRPr="000F6BA6" w:rsidRDefault="00711E14" w:rsidP="00CE22FE">
            <w:pPr>
              <w:spacing w:after="0" w:line="360" w:lineRule="auto"/>
              <w:jc w:val="center"/>
              <w:rPr>
                <w:rFonts w:ascii="Arial" w:eastAsia="Times New Roman" w:hAnsi="Arial" w:cs="Arial"/>
                <w:b/>
                <w:lang w:val="es-ES" w:eastAsia="es-ES"/>
              </w:rPr>
            </w:pPr>
            <w:r w:rsidRPr="000F6BA6">
              <w:rPr>
                <w:rFonts w:ascii="Arial" w:hAnsi="Arial" w:cs="Arial"/>
                <w:b/>
              </w:rPr>
              <w:t>Número de artículo del Texto Definitivo</w:t>
            </w:r>
          </w:p>
        </w:tc>
        <w:tc>
          <w:tcPr>
            <w:tcW w:w="3573" w:type="dxa"/>
            <w:tcBorders>
              <w:top w:val="single" w:sz="4" w:space="0" w:color="auto"/>
              <w:left w:val="single" w:sz="4" w:space="0" w:color="auto"/>
              <w:bottom w:val="single" w:sz="4" w:space="0" w:color="auto"/>
              <w:right w:val="single" w:sz="4" w:space="0" w:color="auto"/>
            </w:tcBorders>
            <w:vAlign w:val="center"/>
            <w:hideMark/>
          </w:tcPr>
          <w:p w:rsidR="00711E14" w:rsidRPr="000F6BA6" w:rsidRDefault="00711E14" w:rsidP="00CE22FE">
            <w:pPr>
              <w:spacing w:after="0" w:line="360" w:lineRule="auto"/>
              <w:jc w:val="center"/>
              <w:rPr>
                <w:rFonts w:ascii="Arial" w:eastAsia="Times New Roman" w:hAnsi="Arial" w:cs="Arial"/>
                <w:b/>
                <w:lang w:val="es-ES" w:eastAsia="es-ES"/>
              </w:rPr>
            </w:pPr>
            <w:r w:rsidRPr="000F6BA6">
              <w:rPr>
                <w:rFonts w:ascii="Arial" w:hAnsi="Arial" w:cs="Arial"/>
                <w:b/>
              </w:rPr>
              <w:t>Número de artículo del Texto de Referencia (Ley 670)</w:t>
            </w:r>
          </w:p>
        </w:tc>
        <w:tc>
          <w:tcPr>
            <w:tcW w:w="2517" w:type="dxa"/>
            <w:tcBorders>
              <w:top w:val="single" w:sz="4" w:space="0" w:color="auto"/>
              <w:left w:val="single" w:sz="4" w:space="0" w:color="auto"/>
              <w:bottom w:val="single" w:sz="4" w:space="0" w:color="auto"/>
              <w:right w:val="single" w:sz="4" w:space="0" w:color="auto"/>
            </w:tcBorders>
            <w:vAlign w:val="center"/>
            <w:hideMark/>
          </w:tcPr>
          <w:p w:rsidR="00711E14" w:rsidRPr="000F6BA6" w:rsidRDefault="00711E14" w:rsidP="00CE22FE">
            <w:pPr>
              <w:spacing w:after="0" w:line="360" w:lineRule="auto"/>
              <w:jc w:val="center"/>
              <w:rPr>
                <w:rFonts w:ascii="Arial" w:eastAsia="Times New Roman" w:hAnsi="Arial" w:cs="Arial"/>
                <w:b/>
                <w:lang w:val="es-ES" w:eastAsia="es-ES"/>
              </w:rPr>
            </w:pPr>
            <w:r w:rsidRPr="000F6BA6">
              <w:rPr>
                <w:rFonts w:ascii="Arial" w:hAnsi="Arial" w:cs="Arial"/>
                <w:b/>
              </w:rPr>
              <w:t>Observaciones</w:t>
            </w:r>
          </w:p>
        </w:tc>
      </w:tr>
      <w:tr w:rsidR="00711E14" w:rsidRPr="000F6BA6" w:rsidTr="00CE22FE">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hideMark/>
          </w:tcPr>
          <w:p w:rsidR="00711E14" w:rsidRPr="000F6BA6" w:rsidRDefault="00711E14" w:rsidP="00CE22FE">
            <w:pPr>
              <w:spacing w:after="0" w:line="360" w:lineRule="auto"/>
              <w:jc w:val="center"/>
              <w:rPr>
                <w:rFonts w:ascii="Arial" w:eastAsia="Times New Roman" w:hAnsi="Arial" w:cs="Arial"/>
                <w:lang w:val="es-ES" w:eastAsia="es-ES"/>
              </w:rPr>
            </w:pPr>
            <w:r w:rsidRPr="000F6BA6">
              <w:rPr>
                <w:rFonts w:ascii="Arial" w:hAnsi="Arial" w:cs="Arial"/>
              </w:rPr>
              <w:t>La numeración de los artículos del Texto Definitivo corresponde a la numeración original de la Ley 670</w:t>
            </w:r>
          </w:p>
        </w:tc>
      </w:tr>
    </w:tbl>
    <w:p w:rsidR="0086007A" w:rsidRPr="000F6BA6" w:rsidRDefault="0086007A" w:rsidP="000F6BA6">
      <w:pPr>
        <w:spacing w:after="0" w:line="360" w:lineRule="auto"/>
        <w:rPr>
          <w:rFonts w:ascii="Arial" w:hAnsi="Arial" w:cs="Arial"/>
        </w:rPr>
      </w:pPr>
    </w:p>
    <w:p w:rsidR="00E76128" w:rsidRPr="00CE22FE" w:rsidRDefault="00E76128" w:rsidP="000F6BA6">
      <w:pPr>
        <w:spacing w:after="0" w:line="360" w:lineRule="auto"/>
        <w:jc w:val="both"/>
        <w:rPr>
          <w:rFonts w:ascii="Arial" w:hAnsi="Arial" w:cs="Arial"/>
          <w:b/>
          <w:u w:val="single"/>
        </w:rPr>
      </w:pPr>
      <w:r w:rsidRPr="00CE22FE">
        <w:rPr>
          <w:rFonts w:ascii="Arial" w:hAnsi="Arial" w:cs="Arial"/>
          <w:b/>
          <w:u w:val="single"/>
        </w:rPr>
        <w:lastRenderedPageBreak/>
        <w:t>Observaciones Generales</w:t>
      </w:r>
      <w:r w:rsidR="00CE22FE">
        <w:rPr>
          <w:rFonts w:ascii="Arial" w:hAnsi="Arial" w:cs="Arial"/>
          <w:b/>
          <w:u w:val="single"/>
        </w:rPr>
        <w:t>:</w:t>
      </w:r>
    </w:p>
    <w:p w:rsidR="00E76128" w:rsidRPr="000F6BA6" w:rsidRDefault="00E76128" w:rsidP="00CE22FE">
      <w:pPr>
        <w:pStyle w:val="Prrafodelista"/>
        <w:numPr>
          <w:ilvl w:val="0"/>
          <w:numId w:val="1"/>
        </w:numPr>
        <w:spacing w:after="0" w:line="360" w:lineRule="auto"/>
        <w:ind w:left="567" w:hanging="567"/>
        <w:jc w:val="both"/>
        <w:rPr>
          <w:rFonts w:ascii="Arial" w:hAnsi="Arial" w:cs="Arial"/>
        </w:rPr>
      </w:pPr>
      <w:r w:rsidRPr="000F6BA6">
        <w:rPr>
          <w:rFonts w:ascii="Arial" w:hAnsi="Arial" w:cs="Arial"/>
        </w:rPr>
        <w:t># La presente Norma contiene remisiones externas #</w:t>
      </w:r>
    </w:p>
    <w:p w:rsidR="00E76128" w:rsidRPr="000F6BA6" w:rsidRDefault="00E76128" w:rsidP="00CE22FE">
      <w:pPr>
        <w:pStyle w:val="Prrafodelista"/>
        <w:numPr>
          <w:ilvl w:val="0"/>
          <w:numId w:val="1"/>
        </w:numPr>
        <w:spacing w:after="0" w:line="360" w:lineRule="auto"/>
        <w:ind w:left="567" w:hanging="567"/>
        <w:jc w:val="both"/>
        <w:rPr>
          <w:rFonts w:ascii="Arial" w:hAnsi="Arial" w:cs="Arial"/>
        </w:rPr>
      </w:pPr>
      <w:r w:rsidRPr="000F6BA6">
        <w:rPr>
          <w:rFonts w:ascii="Arial" w:hAnsi="Arial" w:cs="Arial"/>
        </w:rPr>
        <w:t xml:space="preserve">Se deja constancia que las referencias al/los organismos consignados se refieren al/los mencionados en las normas, o a aquellos que actualmente los hubieren sustituido en las atribuciones y funciones previstas en la presente. </w:t>
      </w:r>
    </w:p>
    <w:p w:rsidR="000F6BA6" w:rsidRDefault="000F6BA6">
      <w:pPr>
        <w:rPr>
          <w:rFonts w:ascii="Arial" w:hAnsi="Arial" w:cs="Arial"/>
        </w:rPr>
      </w:pPr>
      <w:r>
        <w:rPr>
          <w:rFonts w:ascii="Arial" w:hAnsi="Arial" w:cs="Arial"/>
        </w:rPr>
        <w:br w:type="page"/>
      </w:r>
    </w:p>
    <w:p w:rsidR="00972535" w:rsidRDefault="00711E14" w:rsidP="00CE22FE">
      <w:pPr>
        <w:spacing w:after="0" w:line="360" w:lineRule="auto"/>
        <w:jc w:val="center"/>
        <w:rPr>
          <w:rFonts w:ascii="Arial" w:hAnsi="Arial" w:cs="Arial"/>
          <w:b/>
        </w:rPr>
      </w:pPr>
      <w:r w:rsidRPr="000F6BA6">
        <w:rPr>
          <w:rFonts w:ascii="Arial" w:hAnsi="Arial" w:cs="Arial"/>
          <w:b/>
        </w:rPr>
        <w:lastRenderedPageBreak/>
        <w:t>ANEXO A</w:t>
      </w:r>
    </w:p>
    <w:p w:rsidR="00CE22FE" w:rsidRDefault="00CE22FE" w:rsidP="00CE22FE">
      <w:pPr>
        <w:autoSpaceDE w:val="0"/>
        <w:autoSpaceDN w:val="0"/>
        <w:adjustRightInd w:val="0"/>
        <w:spacing w:after="0" w:line="360" w:lineRule="auto"/>
        <w:jc w:val="center"/>
        <w:rPr>
          <w:rFonts w:ascii="Arial" w:hAnsi="Arial" w:cs="Arial"/>
          <w:b/>
          <w:bCs/>
        </w:rPr>
      </w:pPr>
      <w:r w:rsidRPr="000F6BA6">
        <w:rPr>
          <w:rFonts w:ascii="Arial" w:hAnsi="Arial" w:cs="Arial"/>
          <w:b/>
          <w:bCs/>
        </w:rPr>
        <w:t>LEY O - Nº 670</w:t>
      </w:r>
    </w:p>
    <w:p w:rsidR="00CE22FE" w:rsidRPr="000F6BA6" w:rsidRDefault="00CE22FE" w:rsidP="00CE22FE">
      <w:pPr>
        <w:spacing w:after="0" w:line="360" w:lineRule="auto"/>
        <w:jc w:val="center"/>
        <w:rPr>
          <w:rFonts w:ascii="Arial" w:hAnsi="Arial" w:cs="Arial"/>
          <w:b/>
        </w:rPr>
      </w:pPr>
    </w:p>
    <w:p w:rsidR="00893263" w:rsidRPr="00CE22FE" w:rsidRDefault="00893263" w:rsidP="00CE22FE">
      <w:pPr>
        <w:spacing w:after="0" w:line="360" w:lineRule="auto"/>
        <w:jc w:val="center"/>
        <w:rPr>
          <w:rFonts w:ascii="Arial" w:hAnsi="Arial" w:cs="Arial"/>
        </w:rPr>
      </w:pPr>
      <w:r w:rsidRPr="00CE22FE">
        <w:rPr>
          <w:rFonts w:ascii="Arial" w:hAnsi="Arial" w:cs="Arial"/>
        </w:rPr>
        <w:t>TRAZADO DE LAS NUEVAS LÍNEAS DE SUBTERRÁNEOS</w:t>
      </w:r>
    </w:p>
    <w:p w:rsidR="000F6BA6" w:rsidRPr="00CE22FE" w:rsidRDefault="000F6BA6" w:rsidP="000F6BA6">
      <w:pPr>
        <w:spacing w:after="0" w:line="360" w:lineRule="auto"/>
        <w:jc w:val="both"/>
        <w:rPr>
          <w:rFonts w:ascii="Arial" w:hAnsi="Arial" w:cs="Arial"/>
        </w:rPr>
      </w:pPr>
    </w:p>
    <w:p w:rsidR="00CE22FE" w:rsidRDefault="00893263" w:rsidP="000F6BA6">
      <w:pPr>
        <w:spacing w:after="0" w:line="360" w:lineRule="auto"/>
        <w:jc w:val="both"/>
        <w:rPr>
          <w:rFonts w:ascii="Arial" w:hAnsi="Arial" w:cs="Arial"/>
        </w:rPr>
      </w:pPr>
      <w:r w:rsidRPr="00CE22FE">
        <w:rPr>
          <w:rFonts w:ascii="Arial" w:hAnsi="Arial" w:cs="Arial"/>
        </w:rPr>
        <w:t>Línea "F" Estación Constitución - Plaza Italia (8,6 km. 13 estaciones)</w:t>
      </w:r>
    </w:p>
    <w:p w:rsidR="000F6BA6" w:rsidRPr="00CE22FE" w:rsidRDefault="00893263" w:rsidP="000F6BA6">
      <w:pPr>
        <w:spacing w:after="0" w:line="360" w:lineRule="auto"/>
        <w:jc w:val="both"/>
        <w:rPr>
          <w:rFonts w:ascii="Arial" w:hAnsi="Arial" w:cs="Arial"/>
        </w:rPr>
      </w:pPr>
      <w:r w:rsidRPr="00CE22FE">
        <w:rPr>
          <w:rFonts w:ascii="Arial" w:hAnsi="Arial" w:cs="Arial"/>
        </w:rPr>
        <w:t>La línea parte de Constitución desde allí toma el eje de la avenida Juan de Garay hasta su intersección con la calle Solís, donde comienza una curva para alinearse con la avenida Entre Ríos. La traza continúa por la avenida Entre Ríos - Callao hasta su intersección con la calle Pacheco de Melo, donde comienza a orientarse hacia el eje de la avenida Las Heras, teniendo como estación final Plaza Italia.</w:t>
      </w:r>
    </w:p>
    <w:p w:rsidR="00972535" w:rsidRPr="00CE22FE" w:rsidRDefault="00893263" w:rsidP="000F6BA6">
      <w:pPr>
        <w:spacing w:after="0" w:line="360" w:lineRule="auto"/>
        <w:jc w:val="both"/>
        <w:rPr>
          <w:rFonts w:ascii="Arial" w:hAnsi="Arial" w:cs="Arial"/>
        </w:rPr>
      </w:pPr>
      <w:r w:rsidRPr="00CE22FE">
        <w:rPr>
          <w:rFonts w:ascii="Arial" w:hAnsi="Arial" w:cs="Arial"/>
        </w:rPr>
        <w:t xml:space="preserve">En la segunda etapa, el eje se orientaría bajo la avenida Montes de Oca y/o Vélez </w:t>
      </w:r>
      <w:proofErr w:type="spellStart"/>
      <w:r w:rsidRPr="00CE22FE">
        <w:rPr>
          <w:rFonts w:ascii="Arial" w:hAnsi="Arial" w:cs="Arial"/>
        </w:rPr>
        <w:t>Sársfield</w:t>
      </w:r>
      <w:proofErr w:type="spellEnd"/>
      <w:r w:rsidRPr="00CE22FE">
        <w:rPr>
          <w:rFonts w:ascii="Arial" w:hAnsi="Arial" w:cs="Arial"/>
        </w:rPr>
        <w:t xml:space="preserve"> hasta su intersección con California.</w:t>
      </w:r>
    </w:p>
    <w:p w:rsidR="00893263" w:rsidRPr="00CE22FE" w:rsidRDefault="00893263" w:rsidP="000F6BA6">
      <w:pPr>
        <w:spacing w:after="0" w:line="360" w:lineRule="auto"/>
        <w:jc w:val="both"/>
        <w:rPr>
          <w:rFonts w:ascii="Arial" w:hAnsi="Arial" w:cs="Arial"/>
        </w:rPr>
      </w:pPr>
      <w:r w:rsidRPr="00CE22FE">
        <w:rPr>
          <w:rFonts w:ascii="Arial" w:hAnsi="Arial" w:cs="Arial"/>
        </w:rPr>
        <w:t>El mapa N° 1, "Línea F", es parte integrante del presente Anexo.</w:t>
      </w:r>
    </w:p>
    <w:p w:rsidR="000F6BA6" w:rsidRPr="00CE22FE" w:rsidRDefault="000F6BA6" w:rsidP="000F6BA6">
      <w:pPr>
        <w:spacing w:after="0" w:line="360" w:lineRule="auto"/>
        <w:jc w:val="both"/>
        <w:rPr>
          <w:rFonts w:ascii="Arial" w:hAnsi="Arial" w:cs="Arial"/>
        </w:rPr>
      </w:pPr>
    </w:p>
    <w:p w:rsidR="00CE22FE" w:rsidRDefault="00893263" w:rsidP="000F6BA6">
      <w:pPr>
        <w:spacing w:after="0" w:line="360" w:lineRule="auto"/>
        <w:jc w:val="both"/>
        <w:rPr>
          <w:rFonts w:ascii="Arial" w:hAnsi="Arial" w:cs="Arial"/>
        </w:rPr>
      </w:pPr>
      <w:r w:rsidRPr="00CE22FE">
        <w:rPr>
          <w:rFonts w:ascii="Arial" w:hAnsi="Arial" w:cs="Arial"/>
        </w:rPr>
        <w:t>Línea "G" Estación Retiro - Cid Campeador (7,3 km. 11 estaciones)</w:t>
      </w:r>
    </w:p>
    <w:p w:rsidR="00972535" w:rsidRPr="00CE22FE" w:rsidRDefault="00893263" w:rsidP="000F6BA6">
      <w:pPr>
        <w:spacing w:after="0" w:line="360" w:lineRule="auto"/>
        <w:jc w:val="both"/>
        <w:rPr>
          <w:rFonts w:ascii="Arial" w:hAnsi="Arial" w:cs="Arial"/>
        </w:rPr>
      </w:pPr>
      <w:r w:rsidRPr="00CE22FE">
        <w:rPr>
          <w:rFonts w:ascii="Arial" w:hAnsi="Arial" w:cs="Arial"/>
        </w:rPr>
        <w:t xml:space="preserve">Con cabecera en Retiro la línea se desarrolla con eje en la avenida Santa </w:t>
      </w:r>
      <w:proofErr w:type="spellStart"/>
      <w:r w:rsidRPr="00CE22FE">
        <w:rPr>
          <w:rFonts w:ascii="Arial" w:hAnsi="Arial" w:cs="Arial"/>
        </w:rPr>
        <w:t>Fé</w:t>
      </w:r>
      <w:proofErr w:type="spellEnd"/>
      <w:r w:rsidRPr="00CE22FE">
        <w:rPr>
          <w:rFonts w:ascii="Arial" w:hAnsi="Arial" w:cs="Arial"/>
        </w:rPr>
        <w:t xml:space="preserve"> desde Plaza San Martín hasta la avenida </w:t>
      </w:r>
      <w:proofErr w:type="spellStart"/>
      <w:r w:rsidRPr="00CE22FE">
        <w:rPr>
          <w:rFonts w:ascii="Arial" w:hAnsi="Arial" w:cs="Arial"/>
        </w:rPr>
        <w:t>Pueyrredón</w:t>
      </w:r>
      <w:proofErr w:type="spellEnd"/>
      <w:r w:rsidRPr="00CE22FE">
        <w:rPr>
          <w:rFonts w:ascii="Arial" w:hAnsi="Arial" w:cs="Arial"/>
        </w:rPr>
        <w:t xml:space="preserve">, desde donde se alinea hasta interceptar la avenida Córdoba, para proseguir su traza por esta avenida. En la bifurcación que forman la avenida Córdoba con la avenida Estado de Israel la traza continúa por esta última hasta interceptar la avenida Corrientes, desde donde se orienta hasta el Parque Centenario, rodeándolo parcialmente por la avenida Patricias Argentinas prosiguiendo por la avenida Díaz Vélez hasta su intersección con la avenida Honorio </w:t>
      </w:r>
      <w:proofErr w:type="spellStart"/>
      <w:r w:rsidRPr="00CE22FE">
        <w:rPr>
          <w:rFonts w:ascii="Arial" w:hAnsi="Arial" w:cs="Arial"/>
        </w:rPr>
        <w:t>Pueyrredón</w:t>
      </w:r>
      <w:proofErr w:type="spellEnd"/>
      <w:r w:rsidRPr="00CE22FE">
        <w:rPr>
          <w:rFonts w:ascii="Arial" w:hAnsi="Arial" w:cs="Arial"/>
        </w:rPr>
        <w:t>.</w:t>
      </w:r>
    </w:p>
    <w:p w:rsidR="00972535" w:rsidRPr="00CE22FE" w:rsidRDefault="00893263" w:rsidP="000F6BA6">
      <w:pPr>
        <w:spacing w:after="0" w:line="360" w:lineRule="auto"/>
        <w:jc w:val="both"/>
        <w:rPr>
          <w:rFonts w:ascii="Arial" w:hAnsi="Arial" w:cs="Arial"/>
        </w:rPr>
      </w:pPr>
      <w:r w:rsidRPr="00CE22FE">
        <w:rPr>
          <w:rFonts w:ascii="Arial" w:hAnsi="Arial" w:cs="Arial"/>
        </w:rPr>
        <w:t>La segunda etapa partiría desde Cid Campeador siguiendo el eje determinado por la avenida San Martín, hasta alcanzar la estación Villa del Parque del ex Ferrocarril San Martín.</w:t>
      </w:r>
    </w:p>
    <w:p w:rsidR="00893263" w:rsidRPr="00CE22FE" w:rsidRDefault="00893263" w:rsidP="000F6BA6">
      <w:pPr>
        <w:spacing w:after="0" w:line="360" w:lineRule="auto"/>
        <w:jc w:val="both"/>
        <w:rPr>
          <w:rFonts w:ascii="Arial" w:hAnsi="Arial" w:cs="Arial"/>
        </w:rPr>
      </w:pPr>
      <w:r w:rsidRPr="00CE22FE">
        <w:rPr>
          <w:rFonts w:ascii="Arial" w:hAnsi="Arial" w:cs="Arial"/>
        </w:rPr>
        <w:t>El mapa N° 2, "Línea G", es parte integrante del presente Anexo.</w:t>
      </w:r>
    </w:p>
    <w:p w:rsidR="000F6BA6" w:rsidRPr="00CE22FE" w:rsidRDefault="000F6BA6" w:rsidP="000F6BA6">
      <w:pPr>
        <w:spacing w:after="0" w:line="360" w:lineRule="auto"/>
        <w:jc w:val="both"/>
        <w:rPr>
          <w:rFonts w:ascii="Arial" w:hAnsi="Arial" w:cs="Arial"/>
        </w:rPr>
      </w:pPr>
    </w:p>
    <w:p w:rsidR="00CE22FE" w:rsidRDefault="00893263" w:rsidP="000F6BA6">
      <w:pPr>
        <w:spacing w:after="0" w:line="360" w:lineRule="auto"/>
        <w:jc w:val="both"/>
        <w:rPr>
          <w:rFonts w:ascii="Arial" w:hAnsi="Arial" w:cs="Arial"/>
        </w:rPr>
      </w:pPr>
      <w:r w:rsidRPr="00CE22FE">
        <w:rPr>
          <w:rFonts w:ascii="Arial" w:hAnsi="Arial" w:cs="Arial"/>
        </w:rPr>
        <w:t>Línea "I" Estación Emilio Mitre - Plaza Italia (6,6 km. 10 estaciones)</w:t>
      </w:r>
    </w:p>
    <w:p w:rsidR="00972535" w:rsidRPr="00CE22FE" w:rsidRDefault="00893263" w:rsidP="000F6BA6">
      <w:pPr>
        <w:spacing w:after="0" w:line="360" w:lineRule="auto"/>
        <w:jc w:val="both"/>
        <w:rPr>
          <w:rFonts w:ascii="Arial" w:hAnsi="Arial" w:cs="Arial"/>
        </w:rPr>
      </w:pPr>
      <w:r w:rsidRPr="00CE22FE">
        <w:rPr>
          <w:rFonts w:ascii="Arial" w:hAnsi="Arial" w:cs="Arial"/>
        </w:rPr>
        <w:t xml:space="preserve">Con cabecera sur en la calle Emilio Mitre y avenida Directorio, la traza se orienta hasta la intersección de la avenida Pedro </w:t>
      </w:r>
      <w:proofErr w:type="spellStart"/>
      <w:r w:rsidRPr="00CE22FE">
        <w:rPr>
          <w:rFonts w:ascii="Arial" w:hAnsi="Arial" w:cs="Arial"/>
        </w:rPr>
        <w:t>Goyena</w:t>
      </w:r>
      <w:proofErr w:type="spellEnd"/>
      <w:r w:rsidRPr="00CE22FE">
        <w:rPr>
          <w:rFonts w:ascii="Arial" w:hAnsi="Arial" w:cs="Arial"/>
        </w:rPr>
        <w:t xml:space="preserve"> con la calle Centenera y por ésta y su continuación, Rojas, hasta su intersección con la calle </w:t>
      </w:r>
      <w:proofErr w:type="spellStart"/>
      <w:r w:rsidRPr="00CE22FE">
        <w:rPr>
          <w:rFonts w:ascii="Arial" w:hAnsi="Arial" w:cs="Arial"/>
        </w:rPr>
        <w:t>Bacacay</w:t>
      </w:r>
      <w:proofErr w:type="spellEnd"/>
      <w:r w:rsidRPr="00CE22FE">
        <w:rPr>
          <w:rFonts w:ascii="Arial" w:hAnsi="Arial" w:cs="Arial"/>
        </w:rPr>
        <w:t xml:space="preserve">. La traza se alinea hacia la avenida Honorio </w:t>
      </w:r>
      <w:proofErr w:type="spellStart"/>
      <w:r w:rsidRPr="00CE22FE">
        <w:rPr>
          <w:rFonts w:ascii="Arial" w:hAnsi="Arial" w:cs="Arial"/>
        </w:rPr>
        <w:t>Pueyrredón</w:t>
      </w:r>
      <w:proofErr w:type="spellEnd"/>
      <w:r w:rsidRPr="00CE22FE">
        <w:rPr>
          <w:rFonts w:ascii="Arial" w:hAnsi="Arial" w:cs="Arial"/>
        </w:rPr>
        <w:t xml:space="preserve"> por donde prosigue hasta su intersección con la calle </w:t>
      </w:r>
      <w:proofErr w:type="spellStart"/>
      <w:r w:rsidRPr="00CE22FE">
        <w:rPr>
          <w:rFonts w:ascii="Arial" w:hAnsi="Arial" w:cs="Arial"/>
        </w:rPr>
        <w:t>Apolinario</w:t>
      </w:r>
      <w:proofErr w:type="spellEnd"/>
      <w:r w:rsidRPr="00CE22FE">
        <w:rPr>
          <w:rFonts w:ascii="Arial" w:hAnsi="Arial" w:cs="Arial"/>
        </w:rPr>
        <w:t xml:space="preserve"> Figueroa y su continuación, la avenida </w:t>
      </w:r>
      <w:proofErr w:type="spellStart"/>
      <w:r w:rsidRPr="00CE22FE">
        <w:rPr>
          <w:rFonts w:ascii="Arial" w:hAnsi="Arial" w:cs="Arial"/>
        </w:rPr>
        <w:t>Scalabrini</w:t>
      </w:r>
      <w:proofErr w:type="spellEnd"/>
      <w:r w:rsidRPr="00CE22FE">
        <w:rPr>
          <w:rFonts w:ascii="Arial" w:hAnsi="Arial" w:cs="Arial"/>
        </w:rPr>
        <w:t xml:space="preserve"> </w:t>
      </w:r>
      <w:proofErr w:type="spellStart"/>
      <w:r w:rsidRPr="00CE22FE">
        <w:rPr>
          <w:rFonts w:ascii="Arial" w:hAnsi="Arial" w:cs="Arial"/>
        </w:rPr>
        <w:t>Ortíz</w:t>
      </w:r>
      <w:proofErr w:type="spellEnd"/>
      <w:r w:rsidRPr="00CE22FE">
        <w:rPr>
          <w:rFonts w:ascii="Arial" w:hAnsi="Arial" w:cs="Arial"/>
        </w:rPr>
        <w:t xml:space="preserve">, hasta interceptar la avenida Santa </w:t>
      </w:r>
      <w:proofErr w:type="spellStart"/>
      <w:r w:rsidRPr="00CE22FE">
        <w:rPr>
          <w:rFonts w:ascii="Arial" w:hAnsi="Arial" w:cs="Arial"/>
        </w:rPr>
        <w:t>Fé</w:t>
      </w:r>
      <w:proofErr w:type="spellEnd"/>
      <w:r w:rsidRPr="00CE22FE">
        <w:rPr>
          <w:rFonts w:ascii="Arial" w:hAnsi="Arial" w:cs="Arial"/>
        </w:rPr>
        <w:t>, teniendo como cabecera norte Plaza Italia.</w:t>
      </w:r>
    </w:p>
    <w:p w:rsidR="00893263" w:rsidRPr="00CE22FE" w:rsidRDefault="00893263" w:rsidP="000F6BA6">
      <w:pPr>
        <w:spacing w:after="0" w:line="360" w:lineRule="auto"/>
        <w:jc w:val="both"/>
        <w:rPr>
          <w:rFonts w:ascii="Arial" w:hAnsi="Arial" w:cs="Arial"/>
        </w:rPr>
      </w:pPr>
      <w:r w:rsidRPr="00CE22FE">
        <w:rPr>
          <w:rFonts w:ascii="Arial" w:hAnsi="Arial" w:cs="Arial"/>
        </w:rPr>
        <w:t>La segunda etapa partiría desde Plaza Italia siguiendo el eje de la avenida Luis M. Campos en dirección a Barrancas de Belgrano y desde allí hasta la Ciudad Universitaria.</w:t>
      </w:r>
      <w:r w:rsidRPr="00CE22FE">
        <w:rPr>
          <w:rFonts w:ascii="Arial" w:hAnsi="Arial" w:cs="Arial"/>
        </w:rPr>
        <w:br/>
        <w:t>El mapa N° 3, "Línea I", es parte integrante del presente Anexo.</w:t>
      </w:r>
    </w:p>
    <w:p w:rsidR="00893263" w:rsidRPr="000F6BA6" w:rsidRDefault="00893263" w:rsidP="000F6BA6">
      <w:pPr>
        <w:spacing w:after="0" w:line="360" w:lineRule="auto"/>
        <w:jc w:val="both"/>
        <w:rPr>
          <w:rFonts w:ascii="Arial" w:hAnsi="Arial" w:cs="Arial"/>
        </w:rPr>
      </w:pPr>
    </w:p>
    <w:tbl>
      <w:tblPr>
        <w:tblW w:w="9000" w:type="dxa"/>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5014"/>
        <w:gridCol w:w="3986"/>
      </w:tblGrid>
      <w:tr w:rsidR="003667CC" w:rsidRPr="000F6BA6" w:rsidTr="000F6BA6">
        <w:trPr>
          <w:jc w:val="center"/>
        </w:trPr>
        <w:tc>
          <w:tcPr>
            <w:tcW w:w="9000" w:type="dxa"/>
            <w:gridSpan w:val="2"/>
            <w:tcBorders>
              <w:top w:val="single" w:sz="4" w:space="0" w:color="auto"/>
              <w:left w:val="single" w:sz="4" w:space="0" w:color="auto"/>
              <w:bottom w:val="single" w:sz="6" w:space="0" w:color="auto"/>
              <w:right w:val="single" w:sz="4" w:space="0" w:color="auto"/>
            </w:tcBorders>
            <w:vAlign w:val="center"/>
          </w:tcPr>
          <w:p w:rsidR="003667CC" w:rsidRPr="000F6BA6" w:rsidRDefault="003667CC" w:rsidP="000F6BA6">
            <w:pPr>
              <w:pStyle w:val="Textosinformato"/>
              <w:spacing w:before="240" w:line="360" w:lineRule="auto"/>
              <w:jc w:val="center"/>
              <w:rPr>
                <w:rFonts w:ascii="Arial" w:hAnsi="Arial" w:cs="Arial"/>
                <w:sz w:val="22"/>
                <w:szCs w:val="22"/>
                <w:u w:val="single"/>
              </w:rPr>
            </w:pPr>
            <w:r w:rsidRPr="000F6BA6">
              <w:rPr>
                <w:rFonts w:ascii="Arial" w:hAnsi="Arial" w:cs="Arial"/>
                <w:b/>
                <w:sz w:val="22"/>
                <w:szCs w:val="22"/>
              </w:rPr>
              <w:t>LEY O  - N° 670</w:t>
            </w:r>
          </w:p>
          <w:p w:rsidR="003667CC" w:rsidRPr="000F6BA6" w:rsidRDefault="003667CC" w:rsidP="000F6BA6">
            <w:pPr>
              <w:pStyle w:val="Textosinformato"/>
              <w:spacing w:line="360" w:lineRule="auto"/>
              <w:jc w:val="center"/>
              <w:rPr>
                <w:rFonts w:ascii="Arial" w:hAnsi="Arial" w:cs="Arial"/>
                <w:b/>
                <w:sz w:val="22"/>
                <w:szCs w:val="22"/>
              </w:rPr>
            </w:pPr>
            <w:r w:rsidRPr="000F6BA6">
              <w:rPr>
                <w:rFonts w:ascii="Arial" w:hAnsi="Arial" w:cs="Arial"/>
                <w:b/>
                <w:sz w:val="22"/>
                <w:szCs w:val="22"/>
              </w:rPr>
              <w:t>TABLA DE ANTECEDENTES</w:t>
            </w:r>
          </w:p>
          <w:p w:rsidR="003667CC" w:rsidRPr="000F6BA6" w:rsidRDefault="00125745" w:rsidP="000F6BA6">
            <w:pPr>
              <w:pStyle w:val="Textosinformato"/>
              <w:spacing w:line="360" w:lineRule="auto"/>
              <w:jc w:val="center"/>
              <w:rPr>
                <w:rFonts w:ascii="Arial" w:hAnsi="Arial" w:cs="Arial"/>
                <w:b/>
                <w:sz w:val="22"/>
                <w:szCs w:val="22"/>
                <w:u w:val="single"/>
              </w:rPr>
            </w:pPr>
            <w:r w:rsidRPr="000F6BA6">
              <w:rPr>
                <w:rFonts w:ascii="Arial" w:hAnsi="Arial" w:cs="Arial"/>
                <w:b/>
                <w:sz w:val="22"/>
                <w:szCs w:val="22"/>
              </w:rPr>
              <w:t>ANEXO A</w:t>
            </w:r>
          </w:p>
        </w:tc>
      </w:tr>
      <w:tr w:rsidR="003667CC" w:rsidRPr="000F6BA6" w:rsidTr="00CE22FE">
        <w:trPr>
          <w:jc w:val="center"/>
        </w:trPr>
        <w:tc>
          <w:tcPr>
            <w:tcW w:w="5014" w:type="dxa"/>
            <w:tcBorders>
              <w:top w:val="single" w:sz="6" w:space="0" w:color="auto"/>
              <w:left w:val="single" w:sz="4" w:space="0" w:color="auto"/>
              <w:bottom w:val="single" w:sz="6" w:space="0" w:color="auto"/>
              <w:right w:val="single" w:sz="6" w:space="0" w:color="auto"/>
            </w:tcBorders>
            <w:vAlign w:val="center"/>
            <w:hideMark/>
          </w:tcPr>
          <w:p w:rsidR="003667CC" w:rsidRPr="000F6BA6" w:rsidRDefault="003667CC" w:rsidP="00CE22FE">
            <w:pPr>
              <w:pStyle w:val="Textosinformato"/>
              <w:spacing w:line="360" w:lineRule="auto"/>
              <w:jc w:val="center"/>
              <w:rPr>
                <w:rFonts w:ascii="Arial" w:hAnsi="Arial" w:cs="Arial"/>
                <w:b/>
                <w:sz w:val="22"/>
                <w:szCs w:val="22"/>
              </w:rPr>
            </w:pPr>
            <w:r w:rsidRPr="000F6BA6">
              <w:rPr>
                <w:rFonts w:ascii="Arial" w:hAnsi="Arial" w:cs="Arial"/>
                <w:b/>
                <w:sz w:val="22"/>
                <w:szCs w:val="22"/>
              </w:rPr>
              <w:t>Número de Artículo del Texto</w:t>
            </w:r>
            <w:r w:rsidR="00CE22FE">
              <w:rPr>
                <w:rFonts w:ascii="Arial" w:hAnsi="Arial" w:cs="Arial"/>
                <w:b/>
                <w:sz w:val="22"/>
                <w:szCs w:val="22"/>
              </w:rPr>
              <w:t xml:space="preserve"> </w:t>
            </w:r>
            <w:r w:rsidRPr="000F6BA6">
              <w:rPr>
                <w:rFonts w:ascii="Arial" w:hAnsi="Arial" w:cs="Arial"/>
                <w:b/>
                <w:sz w:val="22"/>
                <w:szCs w:val="22"/>
              </w:rPr>
              <w:t>Definitivo</w:t>
            </w:r>
          </w:p>
        </w:tc>
        <w:tc>
          <w:tcPr>
            <w:tcW w:w="3986" w:type="dxa"/>
            <w:tcBorders>
              <w:top w:val="single" w:sz="6" w:space="0" w:color="auto"/>
              <w:left w:val="single" w:sz="6" w:space="0" w:color="auto"/>
              <w:bottom w:val="single" w:sz="6" w:space="0" w:color="auto"/>
              <w:right w:val="single" w:sz="4" w:space="0" w:color="auto"/>
            </w:tcBorders>
            <w:vAlign w:val="center"/>
            <w:hideMark/>
          </w:tcPr>
          <w:p w:rsidR="003667CC" w:rsidRPr="000F6BA6" w:rsidRDefault="003667CC" w:rsidP="000F6BA6">
            <w:pPr>
              <w:pStyle w:val="Textosinformato"/>
              <w:spacing w:line="360" w:lineRule="auto"/>
              <w:jc w:val="center"/>
              <w:rPr>
                <w:rFonts w:ascii="Arial" w:hAnsi="Arial" w:cs="Arial"/>
                <w:b/>
                <w:sz w:val="22"/>
                <w:szCs w:val="22"/>
              </w:rPr>
            </w:pPr>
            <w:r w:rsidRPr="000F6BA6">
              <w:rPr>
                <w:rFonts w:ascii="Arial" w:hAnsi="Arial" w:cs="Arial"/>
                <w:b/>
                <w:sz w:val="22"/>
                <w:szCs w:val="22"/>
              </w:rPr>
              <w:t>Fuente</w:t>
            </w:r>
          </w:p>
        </w:tc>
      </w:tr>
      <w:tr w:rsidR="003667CC" w:rsidRPr="000F6BA6" w:rsidTr="000F6BA6">
        <w:trPr>
          <w:trHeight w:val="555"/>
          <w:jc w:val="center"/>
        </w:trPr>
        <w:tc>
          <w:tcPr>
            <w:tcW w:w="9000" w:type="dxa"/>
            <w:gridSpan w:val="2"/>
            <w:tcBorders>
              <w:top w:val="single" w:sz="6" w:space="0" w:color="auto"/>
              <w:left w:val="single" w:sz="4" w:space="0" w:color="auto"/>
              <w:bottom w:val="single" w:sz="4" w:space="0" w:color="auto"/>
              <w:right w:val="single" w:sz="4" w:space="0" w:color="auto"/>
            </w:tcBorders>
          </w:tcPr>
          <w:p w:rsidR="003667CC" w:rsidRPr="000F6BA6" w:rsidRDefault="003667CC" w:rsidP="000F6BA6">
            <w:pPr>
              <w:pStyle w:val="Textosinformato"/>
              <w:spacing w:line="360" w:lineRule="auto"/>
              <w:rPr>
                <w:rFonts w:ascii="Arial" w:hAnsi="Arial" w:cs="Arial"/>
                <w:sz w:val="22"/>
                <w:szCs w:val="22"/>
              </w:rPr>
            </w:pPr>
            <w:r w:rsidRPr="000F6BA6">
              <w:rPr>
                <w:rFonts w:ascii="Arial" w:hAnsi="Arial" w:cs="Arial"/>
                <w:sz w:val="22"/>
                <w:szCs w:val="22"/>
              </w:rPr>
              <w:t>El Anexo de este Texto Definitivo proviene del texto original del Anexo de  la Ley 670.</w:t>
            </w:r>
          </w:p>
        </w:tc>
      </w:tr>
    </w:tbl>
    <w:p w:rsidR="000F6BA6" w:rsidRDefault="000F6BA6"/>
    <w:tbl>
      <w:tblPr>
        <w:tblW w:w="9180" w:type="dxa"/>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3573"/>
        <w:gridCol w:w="2517"/>
      </w:tblGrid>
      <w:tr w:rsidR="003667CC" w:rsidRPr="000F6BA6" w:rsidTr="000F6BA6">
        <w:trPr>
          <w:jc w:val="center"/>
        </w:trPr>
        <w:tc>
          <w:tcPr>
            <w:tcW w:w="9180" w:type="dxa"/>
            <w:gridSpan w:val="3"/>
            <w:tcBorders>
              <w:top w:val="single" w:sz="4" w:space="0" w:color="auto"/>
              <w:left w:val="single" w:sz="4" w:space="0" w:color="auto"/>
              <w:bottom w:val="single" w:sz="4" w:space="0" w:color="auto"/>
              <w:right w:val="single" w:sz="4" w:space="0" w:color="auto"/>
            </w:tcBorders>
            <w:vAlign w:val="center"/>
          </w:tcPr>
          <w:p w:rsidR="003667CC" w:rsidRPr="000F6BA6" w:rsidRDefault="003667CC" w:rsidP="000F6BA6">
            <w:pPr>
              <w:pStyle w:val="Textosinformato"/>
              <w:spacing w:before="240" w:line="360" w:lineRule="auto"/>
              <w:jc w:val="center"/>
              <w:rPr>
                <w:rFonts w:ascii="Arial" w:hAnsi="Arial" w:cs="Arial"/>
                <w:b/>
                <w:sz w:val="22"/>
                <w:szCs w:val="22"/>
              </w:rPr>
            </w:pPr>
            <w:r w:rsidRPr="000F6BA6">
              <w:rPr>
                <w:rFonts w:ascii="Arial" w:hAnsi="Arial" w:cs="Arial"/>
                <w:b/>
                <w:sz w:val="22"/>
                <w:szCs w:val="22"/>
              </w:rPr>
              <w:t>LEY O - N° 670</w:t>
            </w:r>
          </w:p>
          <w:p w:rsidR="003667CC" w:rsidRPr="000F6BA6" w:rsidRDefault="003667CC" w:rsidP="000F6BA6">
            <w:pPr>
              <w:pStyle w:val="Textosinformato"/>
              <w:spacing w:line="360" w:lineRule="auto"/>
              <w:jc w:val="center"/>
              <w:rPr>
                <w:rFonts w:ascii="Arial" w:hAnsi="Arial" w:cs="Arial"/>
                <w:b/>
                <w:sz w:val="22"/>
                <w:szCs w:val="22"/>
              </w:rPr>
            </w:pPr>
            <w:r w:rsidRPr="000F6BA6">
              <w:rPr>
                <w:rFonts w:ascii="Arial" w:hAnsi="Arial" w:cs="Arial"/>
                <w:b/>
                <w:sz w:val="22"/>
                <w:szCs w:val="22"/>
              </w:rPr>
              <w:t>TABLA DE EQUIVALENCIAS</w:t>
            </w:r>
          </w:p>
          <w:p w:rsidR="003667CC" w:rsidRPr="000F6BA6" w:rsidRDefault="00125745" w:rsidP="000F6BA6">
            <w:pPr>
              <w:spacing w:after="0" w:line="360" w:lineRule="auto"/>
              <w:jc w:val="center"/>
              <w:rPr>
                <w:rFonts w:ascii="Arial" w:eastAsia="Times New Roman" w:hAnsi="Arial" w:cs="Arial"/>
                <w:lang w:val="es-ES" w:eastAsia="es-ES"/>
              </w:rPr>
            </w:pPr>
            <w:r w:rsidRPr="000F6BA6">
              <w:rPr>
                <w:rFonts w:ascii="Arial" w:hAnsi="Arial" w:cs="Arial"/>
                <w:b/>
              </w:rPr>
              <w:t>ANEXO A</w:t>
            </w:r>
          </w:p>
        </w:tc>
      </w:tr>
      <w:tr w:rsidR="003667CC" w:rsidRPr="000F6BA6" w:rsidTr="000F6BA6">
        <w:trPr>
          <w:jc w:val="center"/>
        </w:trPr>
        <w:tc>
          <w:tcPr>
            <w:tcW w:w="3090" w:type="dxa"/>
            <w:tcBorders>
              <w:top w:val="single" w:sz="4" w:space="0" w:color="auto"/>
              <w:left w:val="single" w:sz="4" w:space="0" w:color="auto"/>
              <w:bottom w:val="single" w:sz="4" w:space="0" w:color="auto"/>
              <w:right w:val="single" w:sz="4" w:space="0" w:color="auto"/>
            </w:tcBorders>
            <w:vAlign w:val="center"/>
            <w:hideMark/>
          </w:tcPr>
          <w:p w:rsidR="003667CC" w:rsidRPr="000F6BA6" w:rsidRDefault="003667CC" w:rsidP="000F6BA6">
            <w:pPr>
              <w:spacing w:after="0" w:line="360" w:lineRule="auto"/>
              <w:jc w:val="center"/>
              <w:rPr>
                <w:rFonts w:ascii="Arial" w:eastAsia="Times New Roman" w:hAnsi="Arial" w:cs="Arial"/>
                <w:b/>
                <w:lang w:val="es-ES" w:eastAsia="es-ES"/>
              </w:rPr>
            </w:pPr>
            <w:r w:rsidRPr="000F6BA6">
              <w:rPr>
                <w:rFonts w:ascii="Arial" w:hAnsi="Arial" w:cs="Arial"/>
                <w:b/>
              </w:rPr>
              <w:t>Número de artículo del Texto Definitivo</w:t>
            </w:r>
          </w:p>
        </w:tc>
        <w:tc>
          <w:tcPr>
            <w:tcW w:w="3573" w:type="dxa"/>
            <w:tcBorders>
              <w:top w:val="single" w:sz="4" w:space="0" w:color="auto"/>
              <w:left w:val="single" w:sz="4" w:space="0" w:color="auto"/>
              <w:bottom w:val="single" w:sz="4" w:space="0" w:color="auto"/>
              <w:right w:val="single" w:sz="4" w:space="0" w:color="auto"/>
            </w:tcBorders>
            <w:vAlign w:val="center"/>
            <w:hideMark/>
          </w:tcPr>
          <w:p w:rsidR="003667CC" w:rsidRPr="000F6BA6" w:rsidRDefault="003667CC" w:rsidP="000F6BA6">
            <w:pPr>
              <w:spacing w:after="0" w:line="360" w:lineRule="auto"/>
              <w:jc w:val="center"/>
              <w:rPr>
                <w:rFonts w:ascii="Arial" w:eastAsia="Times New Roman" w:hAnsi="Arial" w:cs="Arial"/>
                <w:b/>
                <w:lang w:val="es-ES" w:eastAsia="es-ES"/>
              </w:rPr>
            </w:pPr>
            <w:r w:rsidRPr="000F6BA6">
              <w:rPr>
                <w:rFonts w:ascii="Arial" w:hAnsi="Arial" w:cs="Arial"/>
                <w:b/>
              </w:rPr>
              <w:t>Número de artículo del Texto de Referencia (Ley 670)</w:t>
            </w:r>
          </w:p>
        </w:tc>
        <w:tc>
          <w:tcPr>
            <w:tcW w:w="2517" w:type="dxa"/>
            <w:tcBorders>
              <w:top w:val="single" w:sz="4" w:space="0" w:color="auto"/>
              <w:left w:val="single" w:sz="4" w:space="0" w:color="auto"/>
              <w:bottom w:val="single" w:sz="4" w:space="0" w:color="auto"/>
              <w:right w:val="single" w:sz="4" w:space="0" w:color="auto"/>
            </w:tcBorders>
            <w:vAlign w:val="center"/>
            <w:hideMark/>
          </w:tcPr>
          <w:p w:rsidR="003667CC" w:rsidRPr="000F6BA6" w:rsidRDefault="003667CC" w:rsidP="000F6BA6">
            <w:pPr>
              <w:spacing w:after="0" w:line="360" w:lineRule="auto"/>
              <w:jc w:val="center"/>
              <w:rPr>
                <w:rFonts w:ascii="Arial" w:eastAsia="Times New Roman" w:hAnsi="Arial" w:cs="Arial"/>
                <w:b/>
                <w:lang w:val="es-ES" w:eastAsia="es-ES"/>
              </w:rPr>
            </w:pPr>
            <w:r w:rsidRPr="000F6BA6">
              <w:rPr>
                <w:rFonts w:ascii="Arial" w:hAnsi="Arial" w:cs="Arial"/>
                <w:b/>
              </w:rPr>
              <w:t>Observaciones</w:t>
            </w:r>
          </w:p>
        </w:tc>
      </w:tr>
      <w:tr w:rsidR="003667CC" w:rsidRPr="000F6BA6" w:rsidTr="000F6BA6">
        <w:trPr>
          <w:trHeight w:val="582"/>
          <w:jc w:val="center"/>
        </w:trPr>
        <w:tc>
          <w:tcPr>
            <w:tcW w:w="9180" w:type="dxa"/>
            <w:gridSpan w:val="3"/>
            <w:tcBorders>
              <w:top w:val="single" w:sz="4" w:space="0" w:color="auto"/>
              <w:left w:val="single" w:sz="4" w:space="0" w:color="auto"/>
              <w:bottom w:val="single" w:sz="4" w:space="0" w:color="auto"/>
              <w:right w:val="single" w:sz="4" w:space="0" w:color="auto"/>
            </w:tcBorders>
            <w:hideMark/>
          </w:tcPr>
          <w:p w:rsidR="003667CC" w:rsidRPr="000F6BA6" w:rsidRDefault="003667CC" w:rsidP="000F6BA6">
            <w:pPr>
              <w:spacing w:after="0" w:line="360" w:lineRule="auto"/>
              <w:jc w:val="center"/>
              <w:rPr>
                <w:rFonts w:ascii="Arial" w:eastAsia="Times New Roman" w:hAnsi="Arial" w:cs="Arial"/>
                <w:lang w:val="es-ES" w:eastAsia="es-ES"/>
              </w:rPr>
            </w:pPr>
            <w:r w:rsidRPr="000F6BA6">
              <w:rPr>
                <w:rFonts w:ascii="Arial" w:hAnsi="Arial" w:cs="Arial"/>
              </w:rPr>
              <w:t>El  Texto Definitivo del Anexo A corresponde al original del Anexo de  la Ley 670</w:t>
            </w:r>
          </w:p>
        </w:tc>
      </w:tr>
    </w:tbl>
    <w:p w:rsidR="00893263" w:rsidRPr="000F6BA6" w:rsidRDefault="00893263" w:rsidP="000F6BA6">
      <w:pPr>
        <w:spacing w:after="0" w:line="360" w:lineRule="auto"/>
        <w:jc w:val="both"/>
        <w:rPr>
          <w:rFonts w:ascii="Arial" w:hAnsi="Arial" w:cs="Arial"/>
        </w:rPr>
      </w:pPr>
    </w:p>
    <w:p w:rsidR="00125745" w:rsidRPr="000F6BA6" w:rsidRDefault="00125745" w:rsidP="000F6BA6">
      <w:pPr>
        <w:spacing w:after="0" w:line="360" w:lineRule="auto"/>
        <w:jc w:val="both"/>
        <w:rPr>
          <w:rFonts w:ascii="Arial" w:hAnsi="Arial" w:cs="Arial"/>
          <w:b/>
        </w:rPr>
      </w:pPr>
      <w:r w:rsidRPr="000F6BA6">
        <w:rPr>
          <w:rFonts w:ascii="Arial" w:hAnsi="Arial" w:cs="Arial"/>
          <w:b/>
        </w:rPr>
        <w:t>Observaciones Generales</w:t>
      </w:r>
    </w:p>
    <w:p w:rsidR="00125745" w:rsidRPr="000F6BA6" w:rsidRDefault="00125745" w:rsidP="000F6BA6">
      <w:pPr>
        <w:spacing w:after="0" w:line="360" w:lineRule="auto"/>
        <w:jc w:val="both"/>
        <w:rPr>
          <w:rFonts w:ascii="Arial" w:hAnsi="Arial" w:cs="Arial"/>
        </w:rPr>
      </w:pPr>
      <w:r w:rsidRPr="000F6BA6">
        <w:rPr>
          <w:rFonts w:ascii="Arial" w:hAnsi="Arial" w:cs="Arial"/>
        </w:rPr>
        <w:t>Los Mapas referidos en el Anexo A  no fueron publicados en el Boletín Oficial de la Ciudad de Buenos Aires.</w:t>
      </w:r>
    </w:p>
    <w:p w:rsidR="00C46997" w:rsidRPr="000F6BA6" w:rsidRDefault="00C46997" w:rsidP="000F6BA6">
      <w:pPr>
        <w:spacing w:after="0" w:line="360" w:lineRule="auto"/>
        <w:rPr>
          <w:rFonts w:ascii="Arial" w:hAnsi="Arial" w:cs="Arial"/>
        </w:rPr>
      </w:pPr>
    </w:p>
    <w:sectPr w:rsidR="00C46997" w:rsidRPr="000F6BA6" w:rsidSect="000F6BA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D0448E"/>
    <w:multiLevelType w:val="hybridMultilevel"/>
    <w:tmpl w:val="5FCEFA6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893263"/>
    <w:rsid w:val="00035896"/>
    <w:rsid w:val="000B58A8"/>
    <w:rsid w:val="000E1773"/>
    <w:rsid w:val="000F6BA6"/>
    <w:rsid w:val="00125745"/>
    <w:rsid w:val="001B76C2"/>
    <w:rsid w:val="001C5592"/>
    <w:rsid w:val="001D7F2A"/>
    <w:rsid w:val="00273425"/>
    <w:rsid w:val="002750CB"/>
    <w:rsid w:val="002A7073"/>
    <w:rsid w:val="002B368F"/>
    <w:rsid w:val="002C04DA"/>
    <w:rsid w:val="003667CC"/>
    <w:rsid w:val="00384CDB"/>
    <w:rsid w:val="00391572"/>
    <w:rsid w:val="003A40A8"/>
    <w:rsid w:val="003F0440"/>
    <w:rsid w:val="005B1892"/>
    <w:rsid w:val="00693BAE"/>
    <w:rsid w:val="006C7277"/>
    <w:rsid w:val="006E2D1F"/>
    <w:rsid w:val="006E5947"/>
    <w:rsid w:val="00711E14"/>
    <w:rsid w:val="007961B2"/>
    <w:rsid w:val="007A677E"/>
    <w:rsid w:val="0086007A"/>
    <w:rsid w:val="00877D06"/>
    <w:rsid w:val="00893263"/>
    <w:rsid w:val="00972535"/>
    <w:rsid w:val="00A909D5"/>
    <w:rsid w:val="00A97EDF"/>
    <w:rsid w:val="00B00320"/>
    <w:rsid w:val="00B60813"/>
    <w:rsid w:val="00C46997"/>
    <w:rsid w:val="00CE22FE"/>
    <w:rsid w:val="00DF2E14"/>
    <w:rsid w:val="00E2712C"/>
    <w:rsid w:val="00E52AC1"/>
    <w:rsid w:val="00E76128"/>
    <w:rsid w:val="00E81B91"/>
    <w:rsid w:val="00F8775A"/>
    <w:rsid w:val="00FB56FC"/>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3263"/>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893263"/>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893263"/>
    <w:rPr>
      <w:rFonts w:ascii="Times New Roman" w:eastAsia="Times New Roman" w:hAnsi="Times New Roman" w:cs="Times New Roman"/>
      <w:b/>
      <w:sz w:val="24"/>
      <w:szCs w:val="20"/>
      <w:lang w:val="es-ES" w:eastAsia="es-ES"/>
    </w:rPr>
  </w:style>
  <w:style w:type="character" w:styleId="Hipervnculo">
    <w:name w:val="Hyperlink"/>
    <w:basedOn w:val="Fuentedeprrafopredeter"/>
    <w:semiHidden/>
    <w:rsid w:val="00893263"/>
    <w:rPr>
      <w:color w:val="0000FF"/>
      <w:u w:val="single"/>
    </w:rPr>
  </w:style>
  <w:style w:type="character" w:styleId="nfasis">
    <w:name w:val="Emphasis"/>
    <w:basedOn w:val="Fuentedeprrafopredeter"/>
    <w:qFormat/>
    <w:rsid w:val="00893263"/>
    <w:rPr>
      <w:i/>
    </w:rPr>
  </w:style>
  <w:style w:type="character" w:styleId="Hipervnculovisitado">
    <w:name w:val="FollowedHyperlink"/>
    <w:basedOn w:val="Fuentedeprrafopredeter"/>
    <w:uiPriority w:val="99"/>
    <w:semiHidden/>
    <w:unhideWhenUsed/>
    <w:rsid w:val="00273425"/>
    <w:rPr>
      <w:color w:val="800080" w:themeColor="followedHyperlink"/>
      <w:u w:val="single"/>
    </w:rPr>
  </w:style>
  <w:style w:type="paragraph" w:styleId="NormalWeb">
    <w:name w:val="Normal (Web)"/>
    <w:basedOn w:val="Normal"/>
    <w:uiPriority w:val="99"/>
    <w:semiHidden/>
    <w:unhideWhenUsed/>
    <w:rsid w:val="007961B2"/>
    <w:pPr>
      <w:spacing w:before="100" w:beforeAutospacing="1" w:after="100" w:afterAutospacing="1" w:line="240" w:lineRule="auto"/>
    </w:pPr>
    <w:rPr>
      <w:rFonts w:ascii="Times New Roman" w:eastAsia="Times New Roman" w:hAnsi="Times New Roman"/>
      <w:sz w:val="24"/>
      <w:szCs w:val="24"/>
      <w:lang w:eastAsia="es-AR"/>
    </w:rPr>
  </w:style>
  <w:style w:type="paragraph" w:styleId="Textodeglobo">
    <w:name w:val="Balloon Text"/>
    <w:basedOn w:val="Normal"/>
    <w:link w:val="TextodegloboCar"/>
    <w:uiPriority w:val="99"/>
    <w:semiHidden/>
    <w:unhideWhenUsed/>
    <w:rsid w:val="007961B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961B2"/>
    <w:rPr>
      <w:rFonts w:ascii="Tahoma" w:eastAsia="Calibri" w:hAnsi="Tahoma" w:cs="Tahoma"/>
      <w:sz w:val="16"/>
      <w:szCs w:val="16"/>
    </w:rPr>
  </w:style>
  <w:style w:type="paragraph" w:styleId="Prrafodelista">
    <w:name w:val="List Paragraph"/>
    <w:basedOn w:val="Normal"/>
    <w:uiPriority w:val="34"/>
    <w:qFormat/>
    <w:rsid w:val="000E1773"/>
    <w:pPr>
      <w:ind w:left="720"/>
      <w:contextualSpacing/>
    </w:pPr>
  </w:style>
  <w:style w:type="paragraph" w:styleId="Textosinformato">
    <w:name w:val="Plain Text"/>
    <w:basedOn w:val="Normal"/>
    <w:link w:val="TextosinformatoCar"/>
    <w:unhideWhenUsed/>
    <w:rsid w:val="00711E14"/>
    <w:pPr>
      <w:spacing w:after="0" w:line="240" w:lineRule="auto"/>
    </w:pPr>
    <w:rPr>
      <w:rFonts w:ascii="Courier New" w:eastAsia="Times New Roman" w:hAnsi="Courier New"/>
      <w:sz w:val="20"/>
      <w:szCs w:val="24"/>
      <w:lang w:val="es-ES" w:eastAsia="es-ES"/>
    </w:rPr>
  </w:style>
  <w:style w:type="character" w:customStyle="1" w:styleId="TextosinformatoCar">
    <w:name w:val="Texto sin formato Car"/>
    <w:basedOn w:val="Fuentedeprrafopredeter"/>
    <w:link w:val="Textosinformato"/>
    <w:rsid w:val="00711E14"/>
    <w:rPr>
      <w:rFonts w:ascii="Courier New" w:eastAsia="Times New Roman" w:hAnsi="Courier New" w:cs="Times New Roman"/>
      <w:sz w:val="20"/>
      <w:szCs w:val="24"/>
      <w:lang w:val="es-ES" w:eastAsia="es-ES"/>
    </w:rPr>
  </w:style>
  <w:style w:type="table" w:styleId="Tablaconcuadrcula">
    <w:name w:val="Table Grid"/>
    <w:basedOn w:val="Tablanormal"/>
    <w:uiPriority w:val="59"/>
    <w:rsid w:val="00E52AC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55264078">
      <w:bodyDiv w:val="1"/>
      <w:marLeft w:val="0"/>
      <w:marRight w:val="0"/>
      <w:marTop w:val="0"/>
      <w:marBottom w:val="0"/>
      <w:divBdr>
        <w:top w:val="none" w:sz="0" w:space="0" w:color="auto"/>
        <w:left w:val="none" w:sz="0" w:space="0" w:color="auto"/>
        <w:bottom w:val="none" w:sz="0" w:space="0" w:color="auto"/>
        <w:right w:val="none" w:sz="0" w:space="0" w:color="auto"/>
      </w:divBdr>
    </w:div>
    <w:div w:id="1794518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C1C7D8-A095-4416-A63E-A5C4410B7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1117</Words>
  <Characters>6147</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14</cp:revision>
  <cp:lastPrinted>2014-08-18T18:06:00Z</cp:lastPrinted>
  <dcterms:created xsi:type="dcterms:W3CDTF">2014-08-18T18:19:00Z</dcterms:created>
  <dcterms:modified xsi:type="dcterms:W3CDTF">2015-09-23T16:09:00Z</dcterms:modified>
</cp:coreProperties>
</file>