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A83168" w:rsidP="00C919F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919FD">
        <w:rPr>
          <w:rFonts w:ascii="Arial" w:hAnsi="Arial" w:cs="Arial"/>
          <w:b/>
          <w:sz w:val="22"/>
          <w:szCs w:val="22"/>
        </w:rPr>
        <w:t>1999-06-0303</w:t>
      </w:r>
    </w:p>
    <w:p w:rsidR="00B10F88" w:rsidRDefault="00B10F88" w:rsidP="00C919F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919FD" w:rsidRPr="00C919FD" w:rsidRDefault="00B10F88" w:rsidP="00C919F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10F88">
        <w:rPr>
          <w:rFonts w:ascii="Arial" w:hAnsi="Arial" w:cs="Arial"/>
          <w:b/>
          <w:sz w:val="22"/>
          <w:szCs w:val="22"/>
        </w:rPr>
        <w:t>LEY G - N° 188</w:t>
      </w:r>
    </w:p>
    <w:p w:rsidR="00C919FD" w:rsidRDefault="00C919FD" w:rsidP="00C919F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A83168" w:rsidRPr="00C919FD" w:rsidRDefault="00A83168" w:rsidP="00C919F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C919FD">
        <w:rPr>
          <w:rFonts w:ascii="Arial" w:hAnsi="Arial" w:cs="Arial"/>
          <w:sz w:val="22"/>
          <w:szCs w:val="22"/>
          <w:lang w:val="es-ES_tradnl"/>
        </w:rPr>
        <w:t xml:space="preserve">Artículo 1° - </w:t>
      </w:r>
      <w:proofErr w:type="spellStart"/>
      <w:r w:rsidRPr="00C919FD">
        <w:rPr>
          <w:rFonts w:ascii="Arial" w:hAnsi="Arial" w:cs="Arial"/>
          <w:sz w:val="22"/>
          <w:szCs w:val="22"/>
          <w:lang w:val="es-ES_tradnl"/>
        </w:rPr>
        <w:t>Institúyese</w:t>
      </w:r>
      <w:proofErr w:type="spellEnd"/>
      <w:r w:rsidRPr="00C919FD">
        <w:rPr>
          <w:rFonts w:ascii="Arial" w:hAnsi="Arial" w:cs="Arial"/>
          <w:sz w:val="22"/>
          <w:szCs w:val="22"/>
          <w:lang w:val="es-ES_tradnl"/>
        </w:rPr>
        <w:t xml:space="preserve"> el premio Lola Mora que se entregará al artículo periodístico, programa o aviso publicitario difundido a través de cualquier medio de comunicación masiva y a la labor periodística en medios de comunicación masiva, que promuevan los derechos de la mujer, incentiven la cooperación y solidaridad entre los sexos, contribuya a la superación de los estereotipos negativos para la mujer, reivindique en general los derechos igualitarios, su cumplimiento en todos los ámbitos y la no discriminación contra la mujer. </w:t>
      </w:r>
    </w:p>
    <w:p w:rsidR="00A83168" w:rsidRPr="00C919FD" w:rsidRDefault="00A83168" w:rsidP="00C919F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A83168" w:rsidRPr="00C919FD" w:rsidRDefault="00A83168" w:rsidP="00C919F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C919FD">
        <w:rPr>
          <w:rFonts w:ascii="Arial" w:hAnsi="Arial" w:cs="Arial"/>
          <w:sz w:val="22"/>
          <w:szCs w:val="22"/>
          <w:lang w:val="es-ES_tradnl"/>
        </w:rPr>
        <w:t>Artículo 2° - La Dirección General de la Mujer será la autoridad de aplicación de la presente ley, determinando las bases y condiciones del premio y el número de integrantes del jurado. El premio consistirá en una estatuilla y pergaminos.</w:t>
      </w:r>
    </w:p>
    <w:p w:rsidR="00A83168" w:rsidRPr="00C919FD" w:rsidRDefault="00A83168" w:rsidP="00C919F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A83168" w:rsidRPr="00C919FD" w:rsidRDefault="00A83168" w:rsidP="00C919F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C919FD">
        <w:rPr>
          <w:rFonts w:ascii="Arial" w:hAnsi="Arial" w:cs="Arial"/>
          <w:sz w:val="22"/>
          <w:szCs w:val="22"/>
          <w:lang w:val="es-ES_tradnl"/>
        </w:rPr>
        <w:t xml:space="preserve">Artículo 3° - El premio será concedido anualmente por un jurado convocado ad-hoc, compuesto por personalidades cuyas conductas o valores en defensa de los derechos de la mujer justifiquen tal designación, representantes de organizaciones sociales no gubernamentales dedicadas a la temática de la mujer, representantes de la Universidad de Buenos Aires, representantes de los bloques de legisladores metropolitanos, representantes de la Dirección General de la Mujer o del organismo que en el futuro la reemplace en el ámbito ejecutivo de la Ciudad Autónoma de Buenos Aires y un representante designado por la Defensoría del Pueblo de la Ciudad Autónoma de Buenos Aires especializado en temas de género. Se invitará, asimismo, a la Organización de las Naciones Unidas a designar su representante para integrar el jurado. El primer jurado dictará su reglamento interno. </w:t>
      </w:r>
    </w:p>
    <w:p w:rsidR="00C919FD" w:rsidRDefault="00C919FD" w:rsidP="00C919F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A83168" w:rsidRPr="00C919FD" w:rsidRDefault="00A83168" w:rsidP="00C919F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C919FD">
        <w:rPr>
          <w:rFonts w:ascii="Arial" w:hAnsi="Arial" w:cs="Arial"/>
          <w:sz w:val="22"/>
          <w:szCs w:val="22"/>
          <w:lang w:val="es-ES_tradnl"/>
        </w:rPr>
        <w:t>Artículo 4° - Las organizaciones sociales no gubernamentales dedicadas a la temática de la mujer participantes del jurado conformado para el otorgamiento del Premio "Lola Mora", en forma exclusiva, promoverán una mención crítica sobre el programa o comercial de radio o televisión que profundice la discriminación contra la mujer y refuerce los estereotipos negativos, que se otorgará en forma simultánea con el premio principal.</w:t>
      </w:r>
    </w:p>
    <w:p w:rsidR="00A83168" w:rsidRPr="00C919FD" w:rsidRDefault="00A83168" w:rsidP="00C919F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A83168" w:rsidRPr="00C919FD" w:rsidRDefault="00A83168" w:rsidP="00C919F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C919FD">
        <w:rPr>
          <w:rFonts w:ascii="Arial" w:hAnsi="Arial" w:cs="Arial"/>
          <w:sz w:val="22"/>
          <w:szCs w:val="22"/>
          <w:lang w:val="es-ES_tradnl"/>
        </w:rPr>
        <w:t>Artículo 5° - Los gastos que demande la implementación de la presente ley deberán estar previstos, a partir del Ejercicio 2000, en el Presupuesto General de Gastos y Cálculo de Recursos de la Ciudad, en Gastos de la Secretaría de Promoción Social Dirección de la Mujer.</w:t>
      </w:r>
    </w:p>
    <w:p w:rsidR="0009329B" w:rsidRPr="00C919FD" w:rsidRDefault="0009329B" w:rsidP="00C919F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09329B" w:rsidRPr="00C919FD" w:rsidTr="00C919FD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C919FD" w:rsidRDefault="0009329B" w:rsidP="00C919F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A83168" w:rsidRPr="00C919F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919F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919F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83168" w:rsidRPr="00C919FD">
              <w:rPr>
                <w:rFonts w:ascii="Arial" w:hAnsi="Arial" w:cs="Arial"/>
                <w:b/>
                <w:sz w:val="22"/>
                <w:szCs w:val="22"/>
              </w:rPr>
              <w:t>188</w:t>
            </w:r>
          </w:p>
          <w:p w:rsidR="0009329B" w:rsidRPr="00C919FD" w:rsidRDefault="0009329B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919FD" w:rsidTr="00C919FD">
        <w:trPr>
          <w:jc w:val="center"/>
        </w:trPr>
        <w:tc>
          <w:tcPr>
            <w:tcW w:w="3752" w:type="dxa"/>
            <w:vAlign w:val="center"/>
          </w:tcPr>
          <w:p w:rsidR="0009329B" w:rsidRPr="00C919FD" w:rsidRDefault="0009329B" w:rsidP="00B10F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10F8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919F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17" w:type="dxa"/>
            <w:vAlign w:val="center"/>
          </w:tcPr>
          <w:p w:rsidR="0009329B" w:rsidRPr="00C919FD" w:rsidRDefault="0009329B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A83168" w:rsidRPr="00C919FD" w:rsidTr="00A83168">
        <w:trPr>
          <w:trHeight w:val="555"/>
          <w:jc w:val="center"/>
        </w:trPr>
        <w:tc>
          <w:tcPr>
            <w:tcW w:w="3752" w:type="dxa"/>
          </w:tcPr>
          <w:p w:rsidR="00A83168" w:rsidRPr="00C919FD" w:rsidRDefault="00A83168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919FD">
              <w:rPr>
                <w:rFonts w:ascii="Arial" w:hAnsi="Arial" w:cs="Arial"/>
                <w:sz w:val="22"/>
                <w:szCs w:val="22"/>
              </w:rPr>
              <w:t>1°</w:t>
            </w:r>
          </w:p>
          <w:p w:rsidR="00A83168" w:rsidRPr="00C919FD" w:rsidRDefault="00A83168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919FD">
              <w:rPr>
                <w:rFonts w:ascii="Arial" w:hAnsi="Arial" w:cs="Arial"/>
                <w:sz w:val="22"/>
                <w:szCs w:val="22"/>
              </w:rPr>
              <w:t>2°</w:t>
            </w:r>
          </w:p>
          <w:p w:rsidR="00A83168" w:rsidRPr="00C919FD" w:rsidRDefault="00A83168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919FD">
              <w:rPr>
                <w:rFonts w:ascii="Arial" w:hAnsi="Arial" w:cs="Arial"/>
                <w:sz w:val="22"/>
                <w:szCs w:val="22"/>
              </w:rPr>
              <w:t>3°</w:t>
            </w:r>
          </w:p>
          <w:p w:rsidR="00A83168" w:rsidRPr="00C919FD" w:rsidRDefault="00A83168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919FD">
              <w:rPr>
                <w:rFonts w:ascii="Arial" w:hAnsi="Arial" w:cs="Arial"/>
                <w:sz w:val="22"/>
                <w:szCs w:val="22"/>
              </w:rPr>
              <w:t>4° / 6°</w:t>
            </w:r>
          </w:p>
        </w:tc>
        <w:tc>
          <w:tcPr>
            <w:tcW w:w="5217" w:type="dxa"/>
          </w:tcPr>
          <w:p w:rsidR="00A83168" w:rsidRPr="00C919FD" w:rsidRDefault="00A83168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919FD">
              <w:rPr>
                <w:rFonts w:ascii="Arial" w:hAnsi="Arial" w:cs="Arial"/>
                <w:sz w:val="22"/>
                <w:szCs w:val="22"/>
              </w:rPr>
              <w:t>Ley 3275, Art. 1°</w:t>
            </w:r>
          </w:p>
          <w:p w:rsidR="00A83168" w:rsidRPr="00C919FD" w:rsidRDefault="00A83168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919FD">
              <w:rPr>
                <w:rFonts w:ascii="Arial" w:hAnsi="Arial" w:cs="Arial"/>
                <w:sz w:val="22"/>
                <w:szCs w:val="22"/>
              </w:rPr>
              <w:t>Texto Original</w:t>
            </w:r>
          </w:p>
          <w:p w:rsidR="00A83168" w:rsidRPr="00C919FD" w:rsidRDefault="00A83168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919FD">
              <w:rPr>
                <w:rFonts w:ascii="Arial" w:hAnsi="Arial" w:cs="Arial"/>
                <w:sz w:val="22"/>
                <w:szCs w:val="22"/>
              </w:rPr>
              <w:t>Ley 2444, Art. 2°</w:t>
            </w:r>
          </w:p>
          <w:p w:rsidR="00A83168" w:rsidRPr="00C919FD" w:rsidRDefault="00A83168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919FD">
              <w:rPr>
                <w:rFonts w:ascii="Arial" w:hAnsi="Arial" w:cs="Arial"/>
                <w:sz w:val="22"/>
                <w:szCs w:val="22"/>
              </w:rPr>
              <w:t>Texto Original</w:t>
            </w:r>
          </w:p>
        </w:tc>
      </w:tr>
    </w:tbl>
    <w:p w:rsidR="00A83168" w:rsidRPr="00C919FD" w:rsidRDefault="00A83168" w:rsidP="00C919F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6"/>
        <w:gridCol w:w="4276"/>
        <w:gridCol w:w="2577"/>
      </w:tblGrid>
      <w:tr w:rsidR="0009329B" w:rsidRPr="00C919FD" w:rsidTr="00C919FD">
        <w:trPr>
          <w:jc w:val="center"/>
        </w:trPr>
        <w:tc>
          <w:tcPr>
            <w:tcW w:w="9299" w:type="dxa"/>
            <w:gridSpan w:val="3"/>
            <w:vAlign w:val="center"/>
          </w:tcPr>
          <w:p w:rsidR="0009329B" w:rsidRPr="00C919FD" w:rsidRDefault="0009329B" w:rsidP="00C919F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A83168" w:rsidRPr="00C919FD">
              <w:rPr>
                <w:rFonts w:ascii="Arial" w:hAnsi="Arial" w:cs="Arial"/>
                <w:b/>
                <w:sz w:val="22"/>
                <w:szCs w:val="22"/>
              </w:rPr>
              <w:t xml:space="preserve"> G</w:t>
            </w:r>
            <w:r w:rsidR="003A2640" w:rsidRPr="00C919F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919F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83168" w:rsidRPr="00C919FD">
              <w:rPr>
                <w:rFonts w:ascii="Arial" w:hAnsi="Arial" w:cs="Arial"/>
                <w:b/>
                <w:sz w:val="22"/>
                <w:szCs w:val="22"/>
              </w:rPr>
              <w:t>188</w:t>
            </w:r>
          </w:p>
          <w:p w:rsidR="0009329B" w:rsidRPr="00C919FD" w:rsidRDefault="0009329B" w:rsidP="00C919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919FD" w:rsidTr="00C919FD">
        <w:trPr>
          <w:jc w:val="center"/>
        </w:trPr>
        <w:tc>
          <w:tcPr>
            <w:tcW w:w="2446" w:type="dxa"/>
            <w:vAlign w:val="center"/>
          </w:tcPr>
          <w:p w:rsidR="0009329B" w:rsidRPr="00C919FD" w:rsidRDefault="0009329B" w:rsidP="00C919F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919FD" w:rsidRDefault="0009329B" w:rsidP="00C919F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276" w:type="dxa"/>
            <w:vAlign w:val="center"/>
          </w:tcPr>
          <w:p w:rsidR="0009329B" w:rsidRPr="00C919FD" w:rsidRDefault="0009329B" w:rsidP="00C919F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919FD" w:rsidRDefault="003A2640" w:rsidP="00C919F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83168" w:rsidRPr="00C919FD">
              <w:rPr>
                <w:rFonts w:ascii="Arial" w:hAnsi="Arial" w:cs="Arial"/>
                <w:b/>
                <w:sz w:val="22"/>
                <w:szCs w:val="22"/>
              </w:rPr>
              <w:t>188</w:t>
            </w:r>
            <w:r w:rsidR="0009329B" w:rsidRPr="00C919F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77" w:type="dxa"/>
            <w:vAlign w:val="center"/>
          </w:tcPr>
          <w:p w:rsidR="0009329B" w:rsidRPr="00C919FD" w:rsidRDefault="0009329B" w:rsidP="00C919F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19F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919FD" w:rsidTr="00C919FD">
        <w:trPr>
          <w:jc w:val="center"/>
        </w:trPr>
        <w:tc>
          <w:tcPr>
            <w:tcW w:w="9299" w:type="dxa"/>
            <w:gridSpan w:val="3"/>
          </w:tcPr>
          <w:p w:rsidR="0009329B" w:rsidRPr="00C919FD" w:rsidRDefault="0009329B" w:rsidP="00B10F8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19F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83168" w:rsidRPr="00C919FD">
              <w:rPr>
                <w:rFonts w:ascii="Arial" w:hAnsi="Arial" w:cs="Arial"/>
                <w:sz w:val="22"/>
                <w:szCs w:val="22"/>
              </w:rPr>
              <w:t>188</w:t>
            </w:r>
            <w:r w:rsidRPr="00C919F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919FD" w:rsidRDefault="0009329B" w:rsidP="00C919FD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C919FD" w:rsidRDefault="00F914CB" w:rsidP="00C919F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919F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C919FD">
        <w:rPr>
          <w:rFonts w:ascii="Arial" w:hAnsi="Arial" w:cs="Arial"/>
          <w:b/>
          <w:sz w:val="22"/>
          <w:szCs w:val="22"/>
        </w:rPr>
        <w:t>:</w:t>
      </w:r>
    </w:p>
    <w:p w:rsidR="00A83168" w:rsidRPr="00C919FD" w:rsidRDefault="00A83168" w:rsidP="00C919F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919FD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sectPr w:rsidR="00A83168" w:rsidRPr="00C919FD" w:rsidSect="00C919F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A6FE7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94461A"/>
    <w:rsid w:val="00A0609D"/>
    <w:rsid w:val="00A476C0"/>
    <w:rsid w:val="00A83168"/>
    <w:rsid w:val="00B10F88"/>
    <w:rsid w:val="00BF0F88"/>
    <w:rsid w:val="00C67C06"/>
    <w:rsid w:val="00C919FD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A83168"/>
    <w:pPr>
      <w:keepNext/>
      <w:jc w:val="center"/>
      <w:outlineLvl w:val="1"/>
    </w:pPr>
    <w:rPr>
      <w:rFonts w:ascii="Arial" w:hAnsi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A83168"/>
    <w:rPr>
      <w:rFonts w:ascii="Arial" w:eastAsia="Times New Roman" w:hAnsi="Arial" w:cs="Times New Roman"/>
      <w:b/>
      <w:bCs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2015-09-24T20:17:00Z</dcterms:modified>
</cp:coreProperties>
</file>