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Default="00A83D17" w:rsidP="0014612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A0E3B">
        <w:rPr>
          <w:rFonts w:ascii="Arial" w:hAnsi="Arial" w:cs="Arial"/>
          <w:b/>
          <w:sz w:val="22"/>
          <w:szCs w:val="22"/>
        </w:rPr>
        <w:t>1996-12-0084</w:t>
      </w:r>
    </w:p>
    <w:p w:rsidR="00EA0E3B" w:rsidRPr="00EA0E3B" w:rsidRDefault="00EA0E3B" w:rsidP="0014612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Default="00D3791B" w:rsidP="00146128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H</w:t>
      </w:r>
      <w:r w:rsidRPr="00EA0E3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-</w:t>
      </w:r>
      <w:r w:rsidRPr="00EA0E3B">
        <w:rPr>
          <w:rFonts w:ascii="Arial" w:hAnsi="Arial" w:cs="Arial"/>
          <w:b/>
          <w:sz w:val="22"/>
          <w:szCs w:val="22"/>
        </w:rPr>
        <w:t xml:space="preserve"> N° 51.084</w:t>
      </w:r>
    </w:p>
    <w:p w:rsidR="00EA0E3B" w:rsidRPr="00EA0E3B" w:rsidRDefault="00EA0E3B" w:rsidP="00146128">
      <w:pPr>
        <w:spacing w:line="360" w:lineRule="auto"/>
        <w:rPr>
          <w:rFonts w:ascii="Arial" w:hAnsi="Arial" w:cs="Arial"/>
          <w:sz w:val="22"/>
          <w:szCs w:val="22"/>
        </w:rPr>
      </w:pPr>
    </w:p>
    <w:p w:rsidR="00A83D17" w:rsidRPr="00EA0E3B" w:rsidRDefault="00A83D17" w:rsidP="0014612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A0E3B">
        <w:rPr>
          <w:rFonts w:ascii="Arial" w:hAnsi="Arial" w:cs="Arial"/>
          <w:bCs/>
          <w:sz w:val="22"/>
          <w:szCs w:val="22"/>
          <w:lang w:val="es-AR"/>
        </w:rPr>
        <w:t>Artículo 1º -</w:t>
      </w:r>
      <w:r w:rsidRPr="00EA0E3B">
        <w:rPr>
          <w:rFonts w:ascii="Arial" w:hAnsi="Arial" w:cs="Arial"/>
          <w:b/>
          <w:bCs/>
          <w:sz w:val="22"/>
          <w:szCs w:val="22"/>
          <w:lang w:val="es-AR"/>
        </w:rPr>
        <w:t xml:space="preserve"> </w:t>
      </w:r>
      <w:r w:rsidRPr="00EA0E3B">
        <w:rPr>
          <w:rFonts w:ascii="Arial" w:hAnsi="Arial" w:cs="Arial"/>
          <w:sz w:val="22"/>
          <w:szCs w:val="22"/>
          <w:lang w:val="es-AR"/>
        </w:rPr>
        <w:t>Todo anuncio publicitario de bebidas alcohólicas o contenido alcohólico, cualquiera fuera su graduación y procedencia, deberá contener su graduación alcohólica y la siguiente leyenda: "El consumo excesivo de alcohol es perjudicial para la salud".</w:t>
      </w:r>
    </w:p>
    <w:p w:rsidR="00A83D17" w:rsidRPr="00EA0E3B" w:rsidRDefault="00A83D17" w:rsidP="0014612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83D17" w:rsidRPr="00EA0E3B" w:rsidRDefault="00A83D17" w:rsidP="0014612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A0E3B">
        <w:rPr>
          <w:rFonts w:ascii="Arial" w:hAnsi="Arial" w:cs="Arial"/>
          <w:bCs/>
          <w:sz w:val="22"/>
          <w:szCs w:val="22"/>
          <w:lang w:val="es-AR"/>
        </w:rPr>
        <w:t>Artículo 2º -</w:t>
      </w:r>
      <w:r w:rsidRPr="00EA0E3B">
        <w:rPr>
          <w:rFonts w:ascii="Arial" w:hAnsi="Arial" w:cs="Arial"/>
          <w:sz w:val="22"/>
          <w:szCs w:val="22"/>
          <w:lang w:val="es-AR"/>
        </w:rPr>
        <w:t xml:space="preserve"> Se entiende por anuncio publicitario a los fines de la presente ordenanza, los definidos en el Capítulo 13.1 Sección 13, Título 4"De la Publicidad", que integra la Ordenanza número 33.266 # (B.M. 15.419 del 22/12/1976), cualquiera fuera su ubicación, emplazamiento o características, instalados en espacios públicos o concesionados por el Poder Ejecutivo.</w:t>
      </w:r>
    </w:p>
    <w:p w:rsidR="00A83D17" w:rsidRPr="00EA0E3B" w:rsidRDefault="00A83D17" w:rsidP="0014612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83D17" w:rsidRPr="00EA0E3B" w:rsidRDefault="00A83D17" w:rsidP="0014612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A0E3B">
        <w:rPr>
          <w:rFonts w:ascii="Arial" w:hAnsi="Arial" w:cs="Arial"/>
          <w:bCs/>
          <w:sz w:val="22"/>
          <w:szCs w:val="22"/>
          <w:lang w:val="es-AR"/>
        </w:rPr>
        <w:t>Artículo 3º -</w:t>
      </w:r>
      <w:r w:rsidRPr="00EA0E3B">
        <w:rPr>
          <w:rFonts w:ascii="Arial" w:hAnsi="Arial" w:cs="Arial"/>
          <w:b/>
          <w:bCs/>
          <w:sz w:val="22"/>
          <w:szCs w:val="22"/>
          <w:lang w:val="es-AR"/>
        </w:rPr>
        <w:t xml:space="preserve"> </w:t>
      </w:r>
      <w:r w:rsidRPr="00EA0E3B">
        <w:rPr>
          <w:rFonts w:ascii="Arial" w:hAnsi="Arial" w:cs="Arial"/>
          <w:sz w:val="22"/>
          <w:szCs w:val="22"/>
          <w:lang w:val="es-AR"/>
        </w:rPr>
        <w:t>La graduación alcohólica y la leyenda indicada en el artículo 1º deberán ocupar en el anuncio una superficie no inferior al cinco por ciento (5 %) de la superficie total del mismo. A partir de los cincuenta metros cuadrados (50 m2) de superficie total del anuncio, la advertencia aumentará su tamaño en un uno (1 %) por cada diez metros cuadrados (10 m2) o fracción, de aumento en tamaño del anuncio.</w:t>
      </w:r>
    </w:p>
    <w:p w:rsidR="00A83D17" w:rsidRPr="00EA0E3B" w:rsidRDefault="00A83D17" w:rsidP="0014612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83D17" w:rsidRPr="00EA0E3B" w:rsidRDefault="00A83D17" w:rsidP="0014612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A0E3B">
        <w:rPr>
          <w:rFonts w:ascii="Arial" w:hAnsi="Arial" w:cs="Arial"/>
          <w:bCs/>
          <w:sz w:val="22"/>
          <w:szCs w:val="22"/>
          <w:lang w:val="es-AR"/>
        </w:rPr>
        <w:t>Artículo 4º -</w:t>
      </w:r>
      <w:r w:rsidRPr="00EA0E3B">
        <w:rPr>
          <w:rFonts w:ascii="Arial" w:hAnsi="Arial" w:cs="Arial"/>
          <w:sz w:val="22"/>
          <w:szCs w:val="22"/>
          <w:lang w:val="es-AR"/>
        </w:rPr>
        <w:t xml:space="preserve"> El Poder Ejecutivo implementará las medidas que considere convenientes a fin de poner en conocimiento de la opinión pública el contenido de la presente.</w:t>
      </w:r>
    </w:p>
    <w:p w:rsidR="0009329B" w:rsidRDefault="0009329B" w:rsidP="0014612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D3791B" w:rsidRPr="00EA0E3B" w:rsidRDefault="00D3791B" w:rsidP="0014612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EA0E3B" w:rsidTr="007E6BA8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EA0E3B" w:rsidRDefault="00C447EC" w:rsidP="0014612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D3791B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EA0E3B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A83D17" w:rsidRPr="00EA0E3B">
              <w:rPr>
                <w:rFonts w:ascii="Arial" w:hAnsi="Arial" w:cs="Arial"/>
                <w:b/>
                <w:sz w:val="22"/>
                <w:szCs w:val="22"/>
              </w:rPr>
              <w:t>51</w:t>
            </w:r>
            <w:r w:rsidR="007E6BA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83D17" w:rsidRPr="00EA0E3B">
              <w:rPr>
                <w:rFonts w:ascii="Arial" w:hAnsi="Arial" w:cs="Arial"/>
                <w:b/>
                <w:sz w:val="22"/>
                <w:szCs w:val="22"/>
              </w:rPr>
              <w:t>084</w:t>
            </w:r>
          </w:p>
          <w:p w:rsidR="0009329B" w:rsidRPr="00EA0E3B" w:rsidRDefault="0009329B" w:rsidP="00146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A0E3B" w:rsidTr="007E6BA8">
        <w:trPr>
          <w:jc w:val="center"/>
        </w:trPr>
        <w:tc>
          <w:tcPr>
            <w:tcW w:w="3780" w:type="dxa"/>
            <w:vAlign w:val="center"/>
          </w:tcPr>
          <w:p w:rsidR="0009329B" w:rsidRPr="00EA0E3B" w:rsidRDefault="0009329B" w:rsidP="00146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EA0E3B" w:rsidRDefault="0009329B" w:rsidP="00146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EA0E3B" w:rsidRDefault="0009329B" w:rsidP="00146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A0E3B" w:rsidTr="007E6BA8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EA0E3B" w:rsidRDefault="00A83D17" w:rsidP="0014612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A0E3B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N° 51</w:t>
            </w:r>
            <w:r w:rsidR="007E6BA8">
              <w:rPr>
                <w:rFonts w:ascii="Arial" w:hAnsi="Arial" w:cs="Arial"/>
                <w:sz w:val="22"/>
                <w:szCs w:val="22"/>
              </w:rPr>
              <w:t>.</w:t>
            </w:r>
            <w:r w:rsidRPr="00EA0E3B">
              <w:rPr>
                <w:rFonts w:ascii="Arial" w:hAnsi="Arial" w:cs="Arial"/>
                <w:sz w:val="22"/>
                <w:szCs w:val="22"/>
              </w:rPr>
              <w:t>0</w:t>
            </w:r>
            <w:r w:rsidR="00BB68FC" w:rsidRPr="00EA0E3B">
              <w:rPr>
                <w:rFonts w:ascii="Arial" w:hAnsi="Arial" w:cs="Arial"/>
                <w:sz w:val="22"/>
                <w:szCs w:val="22"/>
              </w:rPr>
              <w:t>8</w:t>
            </w:r>
            <w:r w:rsidRPr="00EA0E3B">
              <w:rPr>
                <w:rFonts w:ascii="Arial" w:hAnsi="Arial" w:cs="Arial"/>
                <w:sz w:val="22"/>
                <w:szCs w:val="22"/>
              </w:rPr>
              <w:t>4.</w:t>
            </w:r>
          </w:p>
        </w:tc>
      </w:tr>
    </w:tbl>
    <w:p w:rsidR="0009329B" w:rsidRDefault="0009329B" w:rsidP="00146128">
      <w:pPr>
        <w:spacing w:line="360" w:lineRule="auto"/>
        <w:rPr>
          <w:rFonts w:ascii="Arial" w:hAnsi="Arial" w:cs="Arial"/>
          <w:sz w:val="22"/>
          <w:szCs w:val="22"/>
        </w:rPr>
      </w:pPr>
    </w:p>
    <w:p w:rsidR="00D3791B" w:rsidRPr="00EA0E3B" w:rsidRDefault="00D3791B" w:rsidP="0014612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7E6BA8" w:rsidRDefault="004662F5" w:rsidP="0014612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E6BA8">
        <w:rPr>
          <w:rFonts w:ascii="Arial" w:hAnsi="Arial" w:cs="Arial"/>
          <w:b/>
          <w:sz w:val="22"/>
          <w:szCs w:val="22"/>
        </w:rPr>
        <w:t xml:space="preserve">Artículos suprimidos: </w:t>
      </w:r>
    </w:p>
    <w:p w:rsidR="004662F5" w:rsidRPr="00EA0E3B" w:rsidRDefault="004662F5" w:rsidP="00146128">
      <w:pPr>
        <w:spacing w:line="360" w:lineRule="auto"/>
        <w:rPr>
          <w:rFonts w:ascii="Arial" w:hAnsi="Arial" w:cs="Arial"/>
          <w:sz w:val="22"/>
          <w:szCs w:val="22"/>
        </w:rPr>
      </w:pPr>
      <w:r w:rsidRPr="007E6BA8">
        <w:rPr>
          <w:rFonts w:ascii="Arial" w:hAnsi="Arial" w:cs="Arial"/>
          <w:b/>
          <w:sz w:val="22"/>
          <w:szCs w:val="22"/>
        </w:rPr>
        <w:t>Anterior Art. 4° y 5°</w:t>
      </w:r>
      <w:r w:rsidR="007E6BA8" w:rsidRPr="007E6BA8">
        <w:rPr>
          <w:rFonts w:ascii="Arial" w:hAnsi="Arial" w:cs="Arial"/>
          <w:b/>
          <w:sz w:val="22"/>
          <w:szCs w:val="22"/>
        </w:rPr>
        <w:t>:</w:t>
      </w:r>
      <w:r w:rsidRPr="00EA0E3B">
        <w:rPr>
          <w:rFonts w:ascii="Arial" w:hAnsi="Arial" w:cs="Arial"/>
          <w:sz w:val="22"/>
          <w:szCs w:val="22"/>
        </w:rPr>
        <w:t xml:space="preserve"> </w:t>
      </w:r>
      <w:r w:rsidR="007E6BA8">
        <w:rPr>
          <w:rFonts w:ascii="Arial" w:hAnsi="Arial" w:cs="Arial"/>
          <w:sz w:val="22"/>
          <w:szCs w:val="22"/>
        </w:rPr>
        <w:t>Caducidad por objeto cumplido.</w:t>
      </w:r>
    </w:p>
    <w:p w:rsidR="004662F5" w:rsidRDefault="004662F5" w:rsidP="00146128">
      <w:pPr>
        <w:spacing w:line="360" w:lineRule="auto"/>
        <w:rPr>
          <w:rFonts w:ascii="Arial" w:hAnsi="Arial" w:cs="Arial"/>
          <w:sz w:val="22"/>
          <w:szCs w:val="22"/>
        </w:rPr>
      </w:pPr>
    </w:p>
    <w:p w:rsidR="00D3791B" w:rsidRPr="00EA0E3B" w:rsidRDefault="00D3791B" w:rsidP="00146128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9"/>
        <w:gridCol w:w="2835"/>
        <w:gridCol w:w="3226"/>
      </w:tblGrid>
      <w:tr w:rsidR="0009329B" w:rsidRPr="00EA0E3B" w:rsidTr="00B64C34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EA0E3B" w:rsidRDefault="00C447EC" w:rsidP="0014612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</w:t>
            </w:r>
            <w:r w:rsidR="0009329B" w:rsidRPr="00EA0E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3791B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EA0E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EA0E3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83D17" w:rsidRPr="00EA0E3B">
              <w:rPr>
                <w:rFonts w:ascii="Arial" w:hAnsi="Arial" w:cs="Arial"/>
                <w:b/>
                <w:sz w:val="22"/>
                <w:szCs w:val="22"/>
              </w:rPr>
              <w:t>51</w:t>
            </w:r>
            <w:r w:rsidR="00B64C3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83D17" w:rsidRPr="00EA0E3B">
              <w:rPr>
                <w:rFonts w:ascii="Arial" w:hAnsi="Arial" w:cs="Arial"/>
                <w:b/>
                <w:sz w:val="22"/>
                <w:szCs w:val="22"/>
              </w:rPr>
              <w:t>084</w:t>
            </w:r>
          </w:p>
          <w:p w:rsidR="0009329B" w:rsidRPr="00EA0E3B" w:rsidRDefault="0009329B" w:rsidP="00146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A0E3B" w:rsidTr="00B64C34">
        <w:trPr>
          <w:jc w:val="center"/>
        </w:trPr>
        <w:tc>
          <w:tcPr>
            <w:tcW w:w="3119" w:type="dxa"/>
            <w:vAlign w:val="center"/>
          </w:tcPr>
          <w:p w:rsidR="0009329B" w:rsidRPr="00EA0E3B" w:rsidRDefault="0009329B" w:rsidP="00146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A0E3B" w:rsidRDefault="0009329B" w:rsidP="00146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35" w:type="dxa"/>
            <w:vAlign w:val="center"/>
          </w:tcPr>
          <w:p w:rsidR="0009329B" w:rsidRPr="00EA0E3B" w:rsidRDefault="0009329B" w:rsidP="00146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A0E3B" w:rsidRDefault="0009329B" w:rsidP="00146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EA0E3B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B64C3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83D17" w:rsidRPr="00EA0E3B">
              <w:rPr>
                <w:rFonts w:ascii="Arial" w:hAnsi="Arial" w:cs="Arial"/>
                <w:b/>
                <w:sz w:val="22"/>
                <w:szCs w:val="22"/>
              </w:rPr>
              <w:t>51</w:t>
            </w:r>
            <w:r w:rsidR="00B64C3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83D17" w:rsidRPr="00EA0E3B">
              <w:rPr>
                <w:rFonts w:ascii="Arial" w:hAnsi="Arial" w:cs="Arial"/>
                <w:b/>
                <w:sz w:val="22"/>
                <w:szCs w:val="22"/>
              </w:rPr>
              <w:t>084</w:t>
            </w:r>
            <w:r w:rsidRPr="00EA0E3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26" w:type="dxa"/>
            <w:vAlign w:val="center"/>
          </w:tcPr>
          <w:p w:rsidR="0009329B" w:rsidRPr="00EA0E3B" w:rsidRDefault="0009329B" w:rsidP="00146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0E3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B64C34" w:rsidRPr="00EA0E3B" w:rsidTr="00B64C34">
        <w:trPr>
          <w:jc w:val="center"/>
        </w:trPr>
        <w:tc>
          <w:tcPr>
            <w:tcW w:w="3119" w:type="dxa"/>
            <w:vAlign w:val="center"/>
          </w:tcPr>
          <w:p w:rsidR="00B64C34" w:rsidRDefault="00B64C34" w:rsidP="0014612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1° / 3°</w:t>
            </w:r>
          </w:p>
          <w:p w:rsidR="00B64C34" w:rsidRPr="00EA0E3B" w:rsidRDefault="00B64C34" w:rsidP="0014612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4°</w:t>
            </w:r>
          </w:p>
        </w:tc>
        <w:tc>
          <w:tcPr>
            <w:tcW w:w="2835" w:type="dxa"/>
            <w:vAlign w:val="center"/>
          </w:tcPr>
          <w:p w:rsidR="00B64C34" w:rsidRDefault="00B64C34" w:rsidP="0014612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1° / 3°</w:t>
            </w:r>
          </w:p>
          <w:p w:rsidR="00B64C34" w:rsidRPr="00EA0E3B" w:rsidRDefault="00B64C34" w:rsidP="0014612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6°</w:t>
            </w:r>
          </w:p>
        </w:tc>
        <w:tc>
          <w:tcPr>
            <w:tcW w:w="3226" w:type="dxa"/>
            <w:vAlign w:val="center"/>
          </w:tcPr>
          <w:p w:rsidR="00B64C34" w:rsidRPr="00EA0E3B" w:rsidRDefault="00B64C34" w:rsidP="0014612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1A73AC" w:rsidRPr="00EA0E3B" w:rsidRDefault="001A73AC" w:rsidP="00146128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EA0E3B" w:rsidRDefault="00F914CB" w:rsidP="00146128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EA0E3B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B64C34">
        <w:rPr>
          <w:rFonts w:ascii="Arial" w:hAnsi="Arial" w:cs="Arial"/>
          <w:b/>
          <w:sz w:val="22"/>
          <w:szCs w:val="22"/>
        </w:rPr>
        <w:t>:</w:t>
      </w:r>
    </w:p>
    <w:p w:rsidR="00B64C34" w:rsidRDefault="00783AF8" w:rsidP="00D3791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3791B">
        <w:rPr>
          <w:rFonts w:ascii="Arial" w:hAnsi="Arial" w:cs="Arial"/>
          <w:sz w:val="22"/>
          <w:szCs w:val="22"/>
        </w:rPr>
        <w:t># La presente Norma contiene remisiones externas #</w:t>
      </w:r>
    </w:p>
    <w:p w:rsidR="00A83D17" w:rsidRPr="00D3791B" w:rsidRDefault="00ED2459" w:rsidP="00D3791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3791B">
        <w:rPr>
          <w:rFonts w:ascii="Arial" w:hAnsi="Arial" w:cs="Arial"/>
          <w:sz w:val="22"/>
          <w:szCs w:val="22"/>
        </w:rPr>
        <w:t xml:space="preserve">Se hace constar que la Sección 13.1 de la </w:t>
      </w:r>
      <w:r w:rsidR="006A261A" w:rsidRPr="00D3791B">
        <w:rPr>
          <w:rFonts w:ascii="Arial" w:hAnsi="Arial" w:cs="Arial"/>
          <w:sz w:val="22"/>
          <w:szCs w:val="22"/>
        </w:rPr>
        <w:t xml:space="preserve">Ordenanza 33.266 ha sido derogada por </w:t>
      </w:r>
      <w:r w:rsidRPr="00D3791B">
        <w:rPr>
          <w:rFonts w:ascii="Arial" w:hAnsi="Arial" w:cs="Arial"/>
          <w:sz w:val="22"/>
          <w:szCs w:val="22"/>
        </w:rPr>
        <w:t xml:space="preserve"> </w:t>
      </w:r>
      <w:r w:rsidR="006A261A" w:rsidRPr="00D3791B">
        <w:rPr>
          <w:rFonts w:ascii="Arial" w:hAnsi="Arial" w:cs="Arial"/>
          <w:iCs/>
          <w:sz w:val="22"/>
          <w:szCs w:val="22"/>
        </w:rPr>
        <w:t>el Art. 44 de la Ley Nº 2</w:t>
      </w:r>
      <w:r w:rsidR="00D3791B">
        <w:rPr>
          <w:rFonts w:ascii="Arial" w:hAnsi="Arial" w:cs="Arial"/>
          <w:iCs/>
          <w:sz w:val="22"/>
          <w:szCs w:val="22"/>
        </w:rPr>
        <w:t>.</w:t>
      </w:r>
      <w:r w:rsidR="006A261A" w:rsidRPr="00D3791B">
        <w:rPr>
          <w:rFonts w:ascii="Arial" w:hAnsi="Arial" w:cs="Arial"/>
          <w:iCs/>
          <w:sz w:val="22"/>
          <w:szCs w:val="22"/>
        </w:rPr>
        <w:t>936.</w:t>
      </w:r>
    </w:p>
    <w:sectPr w:rsidR="00A83D17" w:rsidRPr="00D3791B" w:rsidSect="00EA0E3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F1645"/>
    <w:multiLevelType w:val="hybridMultilevel"/>
    <w:tmpl w:val="8316602C"/>
    <w:lvl w:ilvl="0" w:tplc="2C0A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20" w:hanging="360"/>
      </w:pPr>
    </w:lvl>
    <w:lvl w:ilvl="2" w:tplc="2C0A001B" w:tentative="1">
      <w:start w:val="1"/>
      <w:numFmt w:val="lowerRoman"/>
      <w:lvlText w:val="%3."/>
      <w:lvlJc w:val="right"/>
      <w:pPr>
        <w:ind w:left="1440" w:hanging="180"/>
      </w:pPr>
    </w:lvl>
    <w:lvl w:ilvl="3" w:tplc="2C0A000F" w:tentative="1">
      <w:start w:val="1"/>
      <w:numFmt w:val="decimal"/>
      <w:lvlText w:val="%4."/>
      <w:lvlJc w:val="left"/>
      <w:pPr>
        <w:ind w:left="2160" w:hanging="360"/>
      </w:pPr>
    </w:lvl>
    <w:lvl w:ilvl="4" w:tplc="2C0A0019" w:tentative="1">
      <w:start w:val="1"/>
      <w:numFmt w:val="lowerLetter"/>
      <w:lvlText w:val="%5."/>
      <w:lvlJc w:val="left"/>
      <w:pPr>
        <w:ind w:left="2880" w:hanging="360"/>
      </w:pPr>
    </w:lvl>
    <w:lvl w:ilvl="5" w:tplc="2C0A001B" w:tentative="1">
      <w:start w:val="1"/>
      <w:numFmt w:val="lowerRoman"/>
      <w:lvlText w:val="%6."/>
      <w:lvlJc w:val="right"/>
      <w:pPr>
        <w:ind w:left="3600" w:hanging="180"/>
      </w:pPr>
    </w:lvl>
    <w:lvl w:ilvl="6" w:tplc="2C0A000F" w:tentative="1">
      <w:start w:val="1"/>
      <w:numFmt w:val="decimal"/>
      <w:lvlText w:val="%7."/>
      <w:lvlJc w:val="left"/>
      <w:pPr>
        <w:ind w:left="4320" w:hanging="360"/>
      </w:pPr>
    </w:lvl>
    <w:lvl w:ilvl="7" w:tplc="2C0A0019" w:tentative="1">
      <w:start w:val="1"/>
      <w:numFmt w:val="lowerLetter"/>
      <w:lvlText w:val="%8."/>
      <w:lvlJc w:val="left"/>
      <w:pPr>
        <w:ind w:left="5040" w:hanging="360"/>
      </w:pPr>
    </w:lvl>
    <w:lvl w:ilvl="8" w:tplc="2C0A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146128"/>
    <w:rsid w:val="001A73AC"/>
    <w:rsid w:val="002908C9"/>
    <w:rsid w:val="002C1AAC"/>
    <w:rsid w:val="002D2DC8"/>
    <w:rsid w:val="00340F6E"/>
    <w:rsid w:val="00356505"/>
    <w:rsid w:val="003F1762"/>
    <w:rsid w:val="004662F5"/>
    <w:rsid w:val="004A7641"/>
    <w:rsid w:val="005A4669"/>
    <w:rsid w:val="005A575B"/>
    <w:rsid w:val="006506AC"/>
    <w:rsid w:val="006A261A"/>
    <w:rsid w:val="006B1E8B"/>
    <w:rsid w:val="006F6B15"/>
    <w:rsid w:val="00720487"/>
    <w:rsid w:val="00764B8D"/>
    <w:rsid w:val="00783AF8"/>
    <w:rsid w:val="007E6BA8"/>
    <w:rsid w:val="008E3EF3"/>
    <w:rsid w:val="00945231"/>
    <w:rsid w:val="00A47314"/>
    <w:rsid w:val="00A83D17"/>
    <w:rsid w:val="00B64C34"/>
    <w:rsid w:val="00BB68FC"/>
    <w:rsid w:val="00C447EC"/>
    <w:rsid w:val="00C67C06"/>
    <w:rsid w:val="00C85EE2"/>
    <w:rsid w:val="00C8756B"/>
    <w:rsid w:val="00D3791B"/>
    <w:rsid w:val="00EA0E3B"/>
    <w:rsid w:val="00ED2459"/>
    <w:rsid w:val="00F23A40"/>
    <w:rsid w:val="00F76F73"/>
    <w:rsid w:val="00F914CB"/>
    <w:rsid w:val="00FD380A"/>
    <w:rsid w:val="00FF0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64C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9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2014-10-23T21:11:00Z</dcterms:created>
  <dcterms:modified xsi:type="dcterms:W3CDTF">2015-08-27T15:57:00Z</dcterms:modified>
</cp:coreProperties>
</file>