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A90" w:rsidRPr="00F61ABA" w:rsidRDefault="00C41A90" w:rsidP="00F61ABA">
      <w:pPr>
        <w:spacing w:line="360" w:lineRule="auto"/>
        <w:rPr>
          <w:rFonts w:ascii="Arial" w:hAnsi="Arial" w:cs="Arial"/>
          <w:b/>
          <w:sz w:val="22"/>
          <w:szCs w:val="22"/>
        </w:rPr>
      </w:pPr>
      <w:r w:rsidRPr="00F61ABA">
        <w:rPr>
          <w:rFonts w:ascii="Arial" w:hAnsi="Arial" w:cs="Arial"/>
          <w:b/>
          <w:sz w:val="22"/>
          <w:szCs w:val="22"/>
        </w:rPr>
        <w:t>13468</w:t>
      </w:r>
    </w:p>
    <w:p w:rsidR="00CA3ACA" w:rsidRPr="00F61ABA" w:rsidRDefault="00CA3ACA" w:rsidP="00F61ABA">
      <w:pPr>
        <w:spacing w:line="360" w:lineRule="auto"/>
        <w:rPr>
          <w:rFonts w:ascii="Arial" w:hAnsi="Arial" w:cs="Arial"/>
          <w:b/>
          <w:sz w:val="22"/>
          <w:szCs w:val="22"/>
        </w:rPr>
      </w:pPr>
    </w:p>
    <w:p w:rsidR="00C41A90" w:rsidRPr="00375724" w:rsidRDefault="00375724" w:rsidP="00F61ABA">
      <w:pPr>
        <w:spacing w:line="360" w:lineRule="auto"/>
        <w:jc w:val="center"/>
        <w:rPr>
          <w:rFonts w:ascii="Arial" w:hAnsi="Arial" w:cs="Arial"/>
          <w:b/>
          <w:sz w:val="22"/>
          <w:szCs w:val="22"/>
        </w:rPr>
      </w:pPr>
      <w:r w:rsidRPr="00375724">
        <w:rPr>
          <w:rFonts w:ascii="Arial" w:hAnsi="Arial" w:cs="Arial"/>
          <w:b/>
          <w:sz w:val="22"/>
          <w:szCs w:val="22"/>
        </w:rPr>
        <w:t>ORDENANZA O – Nº 41.635</w:t>
      </w:r>
    </w:p>
    <w:p w:rsidR="00C41A90" w:rsidRPr="00F61ABA" w:rsidRDefault="00C41A90" w:rsidP="00F61ABA">
      <w:pPr>
        <w:spacing w:line="360" w:lineRule="auto"/>
        <w:rPr>
          <w:rFonts w:ascii="Arial" w:hAnsi="Arial" w:cs="Arial"/>
          <w:sz w:val="22"/>
          <w:szCs w:val="22"/>
        </w:rPr>
      </w:pPr>
    </w:p>
    <w:p w:rsidR="00C41A90" w:rsidRPr="00F61ABA" w:rsidRDefault="00C41A90" w:rsidP="00F61ABA">
      <w:pPr>
        <w:spacing w:line="360" w:lineRule="auto"/>
        <w:jc w:val="both"/>
        <w:rPr>
          <w:rFonts w:ascii="Arial" w:hAnsi="Arial" w:cs="Arial"/>
          <w:sz w:val="22"/>
          <w:szCs w:val="22"/>
        </w:rPr>
      </w:pPr>
      <w:r w:rsidRPr="00F61ABA">
        <w:rPr>
          <w:rFonts w:ascii="Arial" w:hAnsi="Arial" w:cs="Arial"/>
          <w:sz w:val="22"/>
          <w:szCs w:val="22"/>
        </w:rPr>
        <w:t>Artículo 1º - Permítase el estacionamiento general de vehículos durante las veinticuatro (24) horas, en forma paralela a ambos cordones en el siguiente tramo de arteria:</w:t>
      </w:r>
    </w:p>
    <w:p w:rsidR="00C41A90" w:rsidRPr="00F61ABA" w:rsidRDefault="00C41A90" w:rsidP="00F61ABA">
      <w:pPr>
        <w:spacing w:line="360" w:lineRule="auto"/>
        <w:jc w:val="both"/>
        <w:rPr>
          <w:rFonts w:ascii="Arial" w:hAnsi="Arial" w:cs="Arial"/>
          <w:sz w:val="22"/>
          <w:szCs w:val="22"/>
        </w:rPr>
      </w:pPr>
      <w:r w:rsidRPr="00F61ABA">
        <w:rPr>
          <w:rFonts w:ascii="Arial" w:hAnsi="Arial" w:cs="Arial"/>
          <w:sz w:val="22"/>
          <w:szCs w:val="22"/>
        </w:rPr>
        <w:t>Av. Caseros desde Bernardo de Irigoyen hasta Defensa.</w:t>
      </w:r>
    </w:p>
    <w:p w:rsidR="00C41A90" w:rsidRPr="00F61ABA" w:rsidRDefault="00C41A90" w:rsidP="00F61ABA">
      <w:pPr>
        <w:spacing w:line="360" w:lineRule="auto"/>
        <w:jc w:val="both"/>
        <w:rPr>
          <w:rFonts w:ascii="Arial" w:hAnsi="Arial" w:cs="Arial"/>
          <w:sz w:val="22"/>
          <w:szCs w:val="22"/>
        </w:rPr>
      </w:pPr>
    </w:p>
    <w:p w:rsidR="00C41A90" w:rsidRPr="00F61ABA" w:rsidRDefault="00C41A90" w:rsidP="00F61ABA">
      <w:pPr>
        <w:spacing w:line="360" w:lineRule="auto"/>
        <w:jc w:val="both"/>
        <w:rPr>
          <w:rFonts w:ascii="Arial" w:hAnsi="Arial" w:cs="Arial"/>
          <w:sz w:val="22"/>
          <w:szCs w:val="22"/>
        </w:rPr>
      </w:pPr>
      <w:r w:rsidRPr="00F61ABA">
        <w:rPr>
          <w:rFonts w:ascii="Arial" w:hAnsi="Arial" w:cs="Arial"/>
          <w:sz w:val="22"/>
          <w:szCs w:val="22"/>
        </w:rPr>
        <w:t xml:space="preserve">Artículo 2º - </w:t>
      </w:r>
      <w:proofErr w:type="spellStart"/>
      <w:r w:rsidRPr="00F61ABA">
        <w:rPr>
          <w:rFonts w:ascii="Arial" w:hAnsi="Arial" w:cs="Arial"/>
          <w:sz w:val="22"/>
          <w:szCs w:val="22"/>
        </w:rPr>
        <w:t>Amplíase</w:t>
      </w:r>
      <w:proofErr w:type="spellEnd"/>
      <w:r w:rsidRPr="00F61ABA">
        <w:rPr>
          <w:rFonts w:ascii="Arial" w:hAnsi="Arial" w:cs="Arial"/>
          <w:sz w:val="22"/>
          <w:szCs w:val="22"/>
        </w:rPr>
        <w:t xml:space="preserve"> la aplicación del sistema de estacionamiento medido, mediante el uso de “Tarjeta Azul” para dicho fin, junto a los cordones de ambas aceras del tramo de arteria mencionado en el artículo precedente.</w:t>
      </w:r>
    </w:p>
    <w:p w:rsidR="00C41A90" w:rsidRPr="00F61ABA" w:rsidRDefault="00C41A90" w:rsidP="00F61ABA">
      <w:pPr>
        <w:spacing w:line="360" w:lineRule="auto"/>
        <w:jc w:val="both"/>
        <w:rPr>
          <w:rFonts w:ascii="Arial" w:hAnsi="Arial" w:cs="Arial"/>
          <w:sz w:val="22"/>
          <w:szCs w:val="22"/>
        </w:rPr>
      </w:pPr>
    </w:p>
    <w:p w:rsidR="00C41A90" w:rsidRPr="00F61ABA" w:rsidRDefault="00C41A90" w:rsidP="00F61ABA">
      <w:pPr>
        <w:spacing w:line="360" w:lineRule="auto"/>
        <w:jc w:val="both"/>
        <w:rPr>
          <w:rFonts w:ascii="Arial" w:hAnsi="Arial" w:cs="Arial"/>
          <w:sz w:val="22"/>
          <w:szCs w:val="22"/>
        </w:rPr>
      </w:pPr>
      <w:r w:rsidRPr="00F61ABA">
        <w:rPr>
          <w:rFonts w:ascii="Arial" w:hAnsi="Arial" w:cs="Arial"/>
          <w:sz w:val="22"/>
          <w:szCs w:val="22"/>
        </w:rPr>
        <w:t>Artículo 3º - La presente medida tendrá vigencia efectiva una vez finalizadas las tareas de señalización correspondientes, las que deberán efectuarse dentro de los noventa (90) días de promulgada la presente.</w:t>
      </w:r>
    </w:p>
    <w:p w:rsidR="00CA3ACA" w:rsidRPr="00F61ABA" w:rsidRDefault="00CA3ACA" w:rsidP="00F61ABA">
      <w:pPr>
        <w:spacing w:line="360" w:lineRule="auto"/>
        <w:jc w:val="both"/>
        <w:rPr>
          <w:rFonts w:ascii="Arial" w:hAnsi="Arial" w:cs="Arial"/>
          <w:sz w:val="22"/>
          <w:szCs w:val="22"/>
        </w:rPr>
      </w:pPr>
    </w:p>
    <w:tbl>
      <w:tblPr>
        <w:tblW w:w="0" w:type="auto"/>
        <w:jc w:val="center"/>
        <w:tblInd w:w="-88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552"/>
        <w:gridCol w:w="5220"/>
      </w:tblGrid>
      <w:tr w:rsidR="00CA3ACA" w:rsidRPr="00F61ABA" w:rsidTr="00F61ABA">
        <w:trPr>
          <w:jc w:val="center"/>
        </w:trPr>
        <w:tc>
          <w:tcPr>
            <w:tcW w:w="9772" w:type="dxa"/>
            <w:gridSpan w:val="2"/>
            <w:vAlign w:val="center"/>
          </w:tcPr>
          <w:p w:rsidR="00CA3ACA" w:rsidRPr="00F61ABA" w:rsidRDefault="00FB4819" w:rsidP="00F61ABA">
            <w:pPr>
              <w:pStyle w:val="Textosinformato"/>
              <w:spacing w:before="240" w:line="360" w:lineRule="auto"/>
              <w:jc w:val="center"/>
              <w:rPr>
                <w:rFonts w:ascii="Arial" w:hAnsi="Arial" w:cs="Arial"/>
                <w:b/>
                <w:sz w:val="22"/>
                <w:szCs w:val="22"/>
              </w:rPr>
            </w:pPr>
            <w:r w:rsidRPr="00F61ABA">
              <w:rPr>
                <w:rFonts w:ascii="Arial" w:hAnsi="Arial" w:cs="Arial"/>
                <w:b/>
                <w:sz w:val="22"/>
                <w:szCs w:val="22"/>
              </w:rPr>
              <w:t xml:space="preserve">ORDENANZA O - Nº </w:t>
            </w:r>
            <w:r w:rsidR="00CA3ACA" w:rsidRPr="00F61ABA">
              <w:rPr>
                <w:rFonts w:ascii="Arial" w:hAnsi="Arial" w:cs="Arial"/>
                <w:b/>
                <w:sz w:val="22"/>
                <w:szCs w:val="22"/>
              </w:rPr>
              <w:t>41.635</w:t>
            </w:r>
          </w:p>
          <w:p w:rsidR="00CA3ACA" w:rsidRPr="00F61ABA" w:rsidRDefault="00CA3ACA" w:rsidP="00F61ABA">
            <w:pPr>
              <w:pStyle w:val="Textosinformato"/>
              <w:spacing w:line="360" w:lineRule="auto"/>
              <w:jc w:val="center"/>
              <w:rPr>
                <w:rFonts w:ascii="Arial" w:hAnsi="Arial" w:cs="Arial"/>
                <w:b/>
                <w:sz w:val="22"/>
                <w:szCs w:val="22"/>
                <w:u w:val="single"/>
              </w:rPr>
            </w:pPr>
            <w:r w:rsidRPr="00F61ABA">
              <w:rPr>
                <w:rFonts w:ascii="Arial" w:hAnsi="Arial" w:cs="Arial"/>
                <w:b/>
                <w:sz w:val="22"/>
                <w:szCs w:val="22"/>
              </w:rPr>
              <w:t>TABLA DE ANTECEDENTES</w:t>
            </w:r>
          </w:p>
        </w:tc>
      </w:tr>
      <w:tr w:rsidR="00CA3ACA" w:rsidRPr="00F61ABA" w:rsidTr="00F61ABA">
        <w:trPr>
          <w:jc w:val="center"/>
        </w:trPr>
        <w:tc>
          <w:tcPr>
            <w:tcW w:w="4552" w:type="dxa"/>
            <w:vAlign w:val="center"/>
          </w:tcPr>
          <w:p w:rsidR="00CA3ACA" w:rsidRPr="00F61ABA" w:rsidRDefault="00CA3ACA" w:rsidP="00F61ABA">
            <w:pPr>
              <w:pStyle w:val="Textosinformato"/>
              <w:spacing w:line="360" w:lineRule="auto"/>
              <w:jc w:val="center"/>
              <w:rPr>
                <w:rFonts w:ascii="Arial" w:hAnsi="Arial" w:cs="Arial"/>
                <w:b/>
                <w:sz w:val="22"/>
                <w:szCs w:val="22"/>
              </w:rPr>
            </w:pPr>
            <w:r w:rsidRPr="00F61ABA">
              <w:rPr>
                <w:rFonts w:ascii="Arial" w:hAnsi="Arial" w:cs="Arial"/>
                <w:b/>
                <w:sz w:val="22"/>
                <w:szCs w:val="22"/>
              </w:rPr>
              <w:t>Número de Artículo del Texto</w:t>
            </w:r>
          </w:p>
          <w:p w:rsidR="00CA3ACA" w:rsidRPr="00F61ABA" w:rsidRDefault="00CA3ACA" w:rsidP="00F61ABA">
            <w:pPr>
              <w:pStyle w:val="Textosinformato"/>
              <w:spacing w:line="360" w:lineRule="auto"/>
              <w:jc w:val="center"/>
              <w:rPr>
                <w:rFonts w:ascii="Arial" w:hAnsi="Arial" w:cs="Arial"/>
                <w:b/>
                <w:sz w:val="22"/>
                <w:szCs w:val="22"/>
              </w:rPr>
            </w:pPr>
            <w:r w:rsidRPr="00F61ABA">
              <w:rPr>
                <w:rFonts w:ascii="Arial" w:hAnsi="Arial" w:cs="Arial"/>
                <w:b/>
                <w:sz w:val="22"/>
                <w:szCs w:val="22"/>
              </w:rPr>
              <w:t>Definitivo</w:t>
            </w:r>
          </w:p>
        </w:tc>
        <w:tc>
          <w:tcPr>
            <w:tcW w:w="5220" w:type="dxa"/>
            <w:vAlign w:val="center"/>
          </w:tcPr>
          <w:p w:rsidR="00CA3ACA" w:rsidRPr="00F61ABA" w:rsidRDefault="00CA3ACA" w:rsidP="00F61ABA">
            <w:pPr>
              <w:pStyle w:val="Textosinformato"/>
              <w:spacing w:line="360" w:lineRule="auto"/>
              <w:jc w:val="center"/>
              <w:rPr>
                <w:rFonts w:ascii="Arial" w:hAnsi="Arial" w:cs="Arial"/>
                <w:b/>
                <w:sz w:val="22"/>
                <w:szCs w:val="22"/>
              </w:rPr>
            </w:pPr>
            <w:r w:rsidRPr="00F61ABA">
              <w:rPr>
                <w:rFonts w:ascii="Arial" w:hAnsi="Arial" w:cs="Arial"/>
                <w:b/>
                <w:sz w:val="22"/>
                <w:szCs w:val="22"/>
              </w:rPr>
              <w:t>Fuente</w:t>
            </w:r>
          </w:p>
        </w:tc>
      </w:tr>
      <w:tr w:rsidR="00CA3ACA" w:rsidRPr="00F61ABA" w:rsidTr="00F61ABA">
        <w:trPr>
          <w:trHeight w:val="555"/>
          <w:jc w:val="center"/>
        </w:trPr>
        <w:tc>
          <w:tcPr>
            <w:tcW w:w="9772" w:type="dxa"/>
            <w:gridSpan w:val="2"/>
            <w:vAlign w:val="center"/>
          </w:tcPr>
          <w:p w:rsidR="00CA3ACA" w:rsidRPr="00F61ABA" w:rsidRDefault="00CA3ACA" w:rsidP="00F61ABA">
            <w:pPr>
              <w:pStyle w:val="Textosinformato"/>
              <w:spacing w:line="360" w:lineRule="auto"/>
              <w:jc w:val="center"/>
              <w:rPr>
                <w:rFonts w:ascii="Arial" w:hAnsi="Arial" w:cs="Arial"/>
                <w:sz w:val="22"/>
                <w:szCs w:val="22"/>
              </w:rPr>
            </w:pPr>
            <w:r w:rsidRPr="00F61ABA">
              <w:rPr>
                <w:rFonts w:ascii="Arial" w:hAnsi="Arial" w:cs="Arial"/>
                <w:sz w:val="22"/>
                <w:szCs w:val="22"/>
              </w:rPr>
              <w:t>Todos los artículos de este Texto Definitivo provienen del Texto Consolidado obrante en el Digesto Municipal de la Ciudad de Buenos Aires, Segunda Edición, Año 1993, AD 801.134.</w:t>
            </w:r>
          </w:p>
        </w:tc>
      </w:tr>
    </w:tbl>
    <w:p w:rsidR="00CA3ACA" w:rsidRPr="00F61ABA" w:rsidRDefault="00CA3ACA" w:rsidP="00F61ABA">
      <w:pPr>
        <w:spacing w:line="360" w:lineRule="auto"/>
        <w:jc w:val="center"/>
        <w:rPr>
          <w:rFonts w:ascii="Arial" w:hAnsi="Arial" w:cs="Arial"/>
          <w:b/>
          <w:sz w:val="22"/>
          <w:szCs w:val="22"/>
        </w:rPr>
      </w:pPr>
    </w:p>
    <w:tbl>
      <w:tblPr>
        <w:tblW w:w="0" w:type="auto"/>
        <w:jc w:val="center"/>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56"/>
        <w:gridCol w:w="2850"/>
        <w:gridCol w:w="3240"/>
      </w:tblGrid>
      <w:tr w:rsidR="00CA3ACA" w:rsidRPr="00F61ABA" w:rsidTr="00F61ABA">
        <w:trPr>
          <w:jc w:val="center"/>
        </w:trPr>
        <w:tc>
          <w:tcPr>
            <w:tcW w:w="9746" w:type="dxa"/>
            <w:gridSpan w:val="3"/>
            <w:vAlign w:val="center"/>
          </w:tcPr>
          <w:p w:rsidR="00CA3ACA" w:rsidRPr="00F61ABA" w:rsidRDefault="00CA3ACA" w:rsidP="00F61ABA">
            <w:pPr>
              <w:pStyle w:val="Textosinformato"/>
              <w:spacing w:before="240" w:line="360" w:lineRule="auto"/>
              <w:jc w:val="center"/>
              <w:rPr>
                <w:rFonts w:ascii="Arial" w:hAnsi="Arial" w:cs="Arial"/>
                <w:b/>
                <w:sz w:val="22"/>
                <w:szCs w:val="22"/>
              </w:rPr>
            </w:pPr>
            <w:r w:rsidRPr="00F61ABA">
              <w:rPr>
                <w:rFonts w:ascii="Arial" w:hAnsi="Arial" w:cs="Arial"/>
                <w:b/>
                <w:sz w:val="22"/>
                <w:szCs w:val="22"/>
              </w:rPr>
              <w:t xml:space="preserve">ORDENANZA </w:t>
            </w:r>
            <w:r w:rsidR="00FB4819" w:rsidRPr="00F61ABA">
              <w:rPr>
                <w:rFonts w:ascii="Arial" w:hAnsi="Arial" w:cs="Arial"/>
                <w:b/>
                <w:sz w:val="22"/>
                <w:szCs w:val="22"/>
              </w:rPr>
              <w:t xml:space="preserve">O </w:t>
            </w:r>
            <w:r w:rsidRPr="00F61ABA">
              <w:rPr>
                <w:rFonts w:ascii="Arial" w:hAnsi="Arial" w:cs="Arial"/>
                <w:b/>
                <w:sz w:val="22"/>
                <w:szCs w:val="22"/>
              </w:rPr>
              <w:t>- Nº 41.635</w:t>
            </w:r>
          </w:p>
          <w:p w:rsidR="00CA3ACA" w:rsidRPr="00F61ABA" w:rsidRDefault="00CA3ACA" w:rsidP="00F61ABA">
            <w:pPr>
              <w:pStyle w:val="Textosinformato"/>
              <w:spacing w:line="360" w:lineRule="auto"/>
              <w:jc w:val="center"/>
              <w:rPr>
                <w:rFonts w:ascii="Arial" w:hAnsi="Arial" w:cs="Arial"/>
                <w:sz w:val="22"/>
                <w:szCs w:val="22"/>
              </w:rPr>
            </w:pPr>
            <w:r w:rsidRPr="00F61ABA">
              <w:rPr>
                <w:rFonts w:ascii="Arial" w:hAnsi="Arial" w:cs="Arial"/>
                <w:b/>
                <w:sz w:val="22"/>
                <w:szCs w:val="22"/>
              </w:rPr>
              <w:t>TABLA DE EQUIVALENCIAS</w:t>
            </w:r>
          </w:p>
        </w:tc>
      </w:tr>
      <w:tr w:rsidR="00CA3ACA" w:rsidRPr="00F61ABA" w:rsidTr="00F61ABA">
        <w:trPr>
          <w:jc w:val="center"/>
        </w:trPr>
        <w:tc>
          <w:tcPr>
            <w:tcW w:w="3656" w:type="dxa"/>
            <w:vAlign w:val="center"/>
          </w:tcPr>
          <w:p w:rsidR="00CA3ACA" w:rsidRPr="00F61ABA" w:rsidRDefault="00CA3ACA" w:rsidP="00F61ABA">
            <w:pPr>
              <w:spacing w:line="360" w:lineRule="auto"/>
              <w:jc w:val="center"/>
              <w:rPr>
                <w:rFonts w:ascii="Arial" w:hAnsi="Arial" w:cs="Arial"/>
                <w:b/>
              </w:rPr>
            </w:pPr>
            <w:r w:rsidRPr="00F61ABA">
              <w:rPr>
                <w:rFonts w:ascii="Arial" w:hAnsi="Arial" w:cs="Arial"/>
                <w:b/>
                <w:sz w:val="22"/>
                <w:szCs w:val="22"/>
              </w:rPr>
              <w:t>Número de artículo</w:t>
            </w:r>
          </w:p>
          <w:p w:rsidR="00CA3ACA" w:rsidRPr="00F61ABA" w:rsidRDefault="00CA3ACA" w:rsidP="00F61ABA">
            <w:pPr>
              <w:spacing w:line="360" w:lineRule="auto"/>
              <w:jc w:val="center"/>
              <w:rPr>
                <w:rFonts w:ascii="Arial" w:hAnsi="Arial" w:cs="Arial"/>
                <w:b/>
              </w:rPr>
            </w:pPr>
            <w:r w:rsidRPr="00F61ABA">
              <w:rPr>
                <w:rFonts w:ascii="Arial" w:hAnsi="Arial" w:cs="Arial"/>
                <w:b/>
                <w:sz w:val="22"/>
                <w:szCs w:val="22"/>
              </w:rPr>
              <w:t>del Texto Definitivo</w:t>
            </w:r>
          </w:p>
        </w:tc>
        <w:tc>
          <w:tcPr>
            <w:tcW w:w="2850" w:type="dxa"/>
            <w:vAlign w:val="center"/>
          </w:tcPr>
          <w:p w:rsidR="00CA3ACA" w:rsidRPr="00F61ABA" w:rsidRDefault="00CA3ACA" w:rsidP="00F61ABA">
            <w:pPr>
              <w:spacing w:line="360" w:lineRule="auto"/>
              <w:jc w:val="center"/>
              <w:rPr>
                <w:rFonts w:ascii="Arial" w:hAnsi="Arial" w:cs="Arial"/>
                <w:b/>
              </w:rPr>
            </w:pPr>
            <w:r w:rsidRPr="00F61ABA">
              <w:rPr>
                <w:rFonts w:ascii="Arial" w:hAnsi="Arial" w:cs="Arial"/>
                <w:b/>
                <w:sz w:val="22"/>
                <w:szCs w:val="22"/>
              </w:rPr>
              <w:t>Número de artículo del Texto de Referencia</w:t>
            </w:r>
          </w:p>
          <w:p w:rsidR="00CA3ACA" w:rsidRPr="00F61ABA" w:rsidRDefault="00CA3ACA" w:rsidP="00F61ABA">
            <w:pPr>
              <w:spacing w:line="360" w:lineRule="auto"/>
              <w:jc w:val="center"/>
              <w:rPr>
                <w:rFonts w:ascii="Arial" w:hAnsi="Arial" w:cs="Arial"/>
                <w:b/>
              </w:rPr>
            </w:pPr>
            <w:r w:rsidRPr="00F61ABA">
              <w:rPr>
                <w:rFonts w:ascii="Arial" w:hAnsi="Arial" w:cs="Arial"/>
                <w:b/>
                <w:sz w:val="22"/>
                <w:szCs w:val="22"/>
              </w:rPr>
              <w:t>(Ordenanza 41</w:t>
            </w:r>
            <w:r w:rsidR="00375724">
              <w:rPr>
                <w:rFonts w:ascii="Arial" w:hAnsi="Arial" w:cs="Arial"/>
                <w:b/>
                <w:sz w:val="22"/>
                <w:szCs w:val="22"/>
              </w:rPr>
              <w:t>.</w:t>
            </w:r>
            <w:r w:rsidRPr="00F61ABA">
              <w:rPr>
                <w:rFonts w:ascii="Arial" w:hAnsi="Arial" w:cs="Arial"/>
                <w:b/>
                <w:sz w:val="22"/>
                <w:szCs w:val="22"/>
              </w:rPr>
              <w:t>635)</w:t>
            </w:r>
          </w:p>
        </w:tc>
        <w:tc>
          <w:tcPr>
            <w:tcW w:w="3240" w:type="dxa"/>
            <w:vAlign w:val="center"/>
          </w:tcPr>
          <w:p w:rsidR="00CA3ACA" w:rsidRPr="00F61ABA" w:rsidRDefault="00CA3ACA" w:rsidP="00F61ABA">
            <w:pPr>
              <w:spacing w:line="360" w:lineRule="auto"/>
              <w:jc w:val="center"/>
              <w:rPr>
                <w:rFonts w:ascii="Arial" w:hAnsi="Arial" w:cs="Arial"/>
                <w:b/>
              </w:rPr>
            </w:pPr>
            <w:r w:rsidRPr="00F61ABA">
              <w:rPr>
                <w:rFonts w:ascii="Arial" w:hAnsi="Arial" w:cs="Arial"/>
                <w:b/>
                <w:sz w:val="22"/>
                <w:szCs w:val="22"/>
              </w:rPr>
              <w:t>Observaciones</w:t>
            </w:r>
          </w:p>
        </w:tc>
      </w:tr>
      <w:tr w:rsidR="00CA3ACA" w:rsidRPr="00F61ABA" w:rsidTr="00F61ABA">
        <w:trPr>
          <w:jc w:val="center"/>
        </w:trPr>
        <w:tc>
          <w:tcPr>
            <w:tcW w:w="9746" w:type="dxa"/>
            <w:gridSpan w:val="3"/>
            <w:vAlign w:val="center"/>
          </w:tcPr>
          <w:p w:rsidR="00CA3ACA" w:rsidRPr="00F61ABA" w:rsidRDefault="00CA3ACA" w:rsidP="00F61ABA">
            <w:pPr>
              <w:spacing w:line="360" w:lineRule="auto"/>
              <w:jc w:val="center"/>
              <w:rPr>
                <w:rFonts w:ascii="Arial" w:hAnsi="Arial" w:cs="Arial"/>
              </w:rPr>
            </w:pPr>
            <w:r w:rsidRPr="00F61ABA">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801.134.</w:t>
            </w:r>
          </w:p>
        </w:tc>
      </w:tr>
    </w:tbl>
    <w:p w:rsidR="009552A0" w:rsidRPr="00F61ABA" w:rsidRDefault="009552A0" w:rsidP="00F61ABA">
      <w:pPr>
        <w:spacing w:line="360" w:lineRule="auto"/>
        <w:rPr>
          <w:rFonts w:ascii="Arial" w:hAnsi="Arial" w:cs="Arial"/>
          <w:sz w:val="22"/>
          <w:szCs w:val="22"/>
        </w:rPr>
      </w:pPr>
    </w:p>
    <w:p w:rsidR="00076220" w:rsidRPr="00F61ABA" w:rsidRDefault="00076220" w:rsidP="00F61ABA">
      <w:pPr>
        <w:spacing w:line="360" w:lineRule="auto"/>
        <w:rPr>
          <w:rFonts w:ascii="Arial" w:hAnsi="Arial" w:cs="Arial"/>
          <w:b/>
          <w:sz w:val="22"/>
          <w:szCs w:val="22"/>
          <w:u w:val="single"/>
        </w:rPr>
      </w:pPr>
      <w:r w:rsidRPr="00F61ABA">
        <w:rPr>
          <w:rFonts w:ascii="Arial" w:hAnsi="Arial" w:cs="Arial"/>
          <w:b/>
          <w:sz w:val="22"/>
          <w:szCs w:val="22"/>
          <w:u w:val="single"/>
        </w:rPr>
        <w:t>Observaciones Generales</w:t>
      </w:r>
      <w:r w:rsidR="00FB4819" w:rsidRPr="00F61ABA">
        <w:rPr>
          <w:rFonts w:ascii="Arial" w:hAnsi="Arial" w:cs="Arial"/>
          <w:b/>
          <w:sz w:val="22"/>
          <w:szCs w:val="22"/>
          <w:u w:val="single"/>
        </w:rPr>
        <w:t>:</w:t>
      </w:r>
    </w:p>
    <w:p w:rsidR="00375724" w:rsidRPr="00375724" w:rsidRDefault="00375724" w:rsidP="00375724">
      <w:pPr>
        <w:shd w:val="clear" w:color="auto" w:fill="FFFFFF"/>
        <w:spacing w:line="360" w:lineRule="auto"/>
        <w:jc w:val="both"/>
        <w:rPr>
          <w:rFonts w:ascii="Arial" w:hAnsi="Arial" w:cs="Arial"/>
          <w:sz w:val="22"/>
          <w:szCs w:val="22"/>
          <w:lang w:eastAsia="es-AR"/>
        </w:rPr>
      </w:pPr>
      <w:r>
        <w:rPr>
          <w:rFonts w:ascii="Arial" w:hAnsi="Arial" w:cs="Arial"/>
          <w:sz w:val="22"/>
          <w:szCs w:val="22"/>
          <w:lang w:eastAsia="es-AR"/>
        </w:rPr>
        <w:t xml:space="preserve">La Ley </w:t>
      </w:r>
      <w:r w:rsidRPr="00375724">
        <w:rPr>
          <w:rFonts w:ascii="Arial" w:hAnsi="Arial" w:cs="Arial"/>
          <w:sz w:val="22"/>
          <w:szCs w:val="22"/>
          <w:lang w:eastAsia="es-AR"/>
        </w:rPr>
        <w:t>N° 4.003, BOCBA 3</w:t>
      </w:r>
      <w:r>
        <w:rPr>
          <w:rFonts w:ascii="Arial" w:hAnsi="Arial" w:cs="Arial"/>
          <w:sz w:val="22"/>
          <w:szCs w:val="22"/>
          <w:lang w:eastAsia="es-AR"/>
        </w:rPr>
        <w:t xml:space="preserve">819 del 26/12/2011, aprueba el </w:t>
      </w:r>
      <w:r w:rsidRPr="00375724">
        <w:rPr>
          <w:rFonts w:ascii="Arial" w:hAnsi="Arial" w:cs="Arial"/>
          <w:sz w:val="22"/>
          <w:szCs w:val="22"/>
          <w:lang w:eastAsia="es-AR"/>
        </w:rPr>
        <w:t xml:space="preserve">“Sistema de Estacionamiento Regulado”, incorporando el capítulo 7.4 al Código de Tránsito y Transporte aprobado por la Ley Nº </w:t>
      </w:r>
      <w:r w:rsidRPr="00375724">
        <w:rPr>
          <w:rFonts w:ascii="Arial" w:hAnsi="Arial" w:cs="Arial"/>
          <w:sz w:val="22"/>
          <w:szCs w:val="22"/>
          <w:lang w:eastAsia="es-AR"/>
        </w:rPr>
        <w:lastRenderedPageBreak/>
        <w:t xml:space="preserve">2.148. Asimismo, establece que el Poder Ejecutivo podrá llamar a licitación pública nacional para la Concesión de la Prestación de los distintos Servicios relacionados con tal  Sistema. </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La citad</w:t>
      </w:r>
      <w:r>
        <w:rPr>
          <w:rFonts w:ascii="Arial" w:hAnsi="Arial" w:cs="Arial"/>
          <w:sz w:val="22"/>
          <w:szCs w:val="22"/>
          <w:lang w:eastAsia="es-AR"/>
        </w:rPr>
        <w:t xml:space="preserve">a Ley abroga las Ordenanzas N° </w:t>
      </w:r>
      <w:r w:rsidRPr="00375724">
        <w:rPr>
          <w:rFonts w:ascii="Arial" w:hAnsi="Arial" w:cs="Arial"/>
          <w:sz w:val="22"/>
          <w:szCs w:val="22"/>
          <w:lang w:eastAsia="es-AR"/>
        </w:rPr>
        <w:t>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Cabe observar que la Ordenanza N° 36.261 ya había sido abrogada por el Art. 16 de la Ley N° 2.148.</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La Ley N° 4.8</w:t>
      </w:r>
      <w:r>
        <w:rPr>
          <w:rFonts w:ascii="Arial" w:hAnsi="Arial" w:cs="Arial"/>
          <w:sz w:val="22"/>
          <w:szCs w:val="22"/>
          <w:lang w:eastAsia="es-AR"/>
        </w:rPr>
        <w:t xml:space="preserve">88, BOCBA 4325 del 24/01/2014, </w:t>
      </w:r>
      <w:r w:rsidRPr="00375724">
        <w:rPr>
          <w:rFonts w:ascii="Arial" w:hAnsi="Arial" w:cs="Arial"/>
          <w:sz w:val="22"/>
          <w:szCs w:val="22"/>
          <w:lang w:eastAsia="es-AR"/>
        </w:rPr>
        <w:t xml:space="preserve">aprueba las modalidades tarifarias para automotores (excepto </w:t>
      </w:r>
      <w:proofErr w:type="spellStart"/>
      <w:r w:rsidRPr="00375724">
        <w:rPr>
          <w:rFonts w:ascii="Arial" w:hAnsi="Arial" w:cs="Arial"/>
          <w:sz w:val="22"/>
          <w:szCs w:val="22"/>
          <w:lang w:eastAsia="es-AR"/>
        </w:rPr>
        <w:t>motovehículos</w:t>
      </w:r>
      <w:proofErr w:type="spellEnd"/>
      <w:r w:rsidRPr="00375724">
        <w:rPr>
          <w:rFonts w:ascii="Arial" w:hAnsi="Arial" w:cs="Arial"/>
          <w:sz w:val="22"/>
          <w:szCs w:val="22"/>
          <w:lang w:eastAsia="es-AR"/>
        </w:rPr>
        <w:t xml:space="preserve">) a aplicar en las </w:t>
      </w:r>
      <w:r>
        <w:rPr>
          <w:rFonts w:ascii="Arial" w:hAnsi="Arial" w:cs="Arial"/>
          <w:sz w:val="22"/>
          <w:szCs w:val="22"/>
          <w:lang w:eastAsia="es-AR"/>
        </w:rPr>
        <w:t xml:space="preserve">distintas arterias de la CABA. </w:t>
      </w:r>
      <w:r w:rsidRPr="00375724">
        <w:rPr>
          <w:rFonts w:ascii="Arial" w:hAnsi="Arial" w:cs="Arial"/>
          <w:sz w:val="22"/>
          <w:szCs w:val="22"/>
          <w:lang w:eastAsia="es-AR"/>
        </w:rPr>
        <w:t>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La Ley N° 4.888 fue promulgada el 20 de enero de 2014.</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A la fecha de cierre del Digesto Jurídico de la CABA (28/02/2014)  se encuentra en proceso de desarrollo la licitación pública  aludida no habiéndose  implementado en consecuencia el nuevo Sistema de Estacionamiento Regulado.</w:t>
      </w:r>
    </w:p>
    <w:p w:rsidR="00375724" w:rsidRPr="00375724" w:rsidRDefault="00375724" w:rsidP="00375724">
      <w:pPr>
        <w:shd w:val="clear" w:color="auto" w:fill="FFFFFF"/>
        <w:spacing w:line="360" w:lineRule="auto"/>
        <w:jc w:val="both"/>
        <w:rPr>
          <w:rFonts w:ascii="Arial" w:hAnsi="Arial" w:cs="Arial"/>
          <w:sz w:val="22"/>
          <w:szCs w:val="22"/>
          <w:lang w:eastAsia="es-AR"/>
        </w:rPr>
      </w:pPr>
      <w:r w:rsidRPr="00375724">
        <w:rPr>
          <w:rFonts w:ascii="Arial" w:hAnsi="Arial" w:cs="Arial"/>
          <w:sz w:val="22"/>
          <w:szCs w:val="22"/>
          <w:lang w:eastAsia="es-AR"/>
        </w:rPr>
        <w:t>Por ello las normas vigentes hasta esa fecha referidas a estacionamiento medido deben mantenerse.</w:t>
      </w:r>
    </w:p>
    <w:p w:rsidR="00375724" w:rsidRPr="00551C50" w:rsidRDefault="00375724" w:rsidP="00375724">
      <w:pPr>
        <w:spacing w:line="360" w:lineRule="auto"/>
        <w:rPr>
          <w:rFonts w:ascii="Arial" w:hAnsi="Arial" w:cs="Arial"/>
        </w:rPr>
      </w:pPr>
    </w:p>
    <w:p w:rsidR="00076220" w:rsidRPr="00F61ABA" w:rsidRDefault="00076220" w:rsidP="00F61ABA">
      <w:pPr>
        <w:spacing w:line="360" w:lineRule="auto"/>
        <w:rPr>
          <w:rFonts w:ascii="Arial" w:hAnsi="Arial" w:cs="Arial"/>
          <w:sz w:val="22"/>
          <w:szCs w:val="22"/>
        </w:rPr>
      </w:pPr>
    </w:p>
    <w:sectPr w:rsidR="00076220" w:rsidRPr="00F61ABA" w:rsidSect="00FB4819">
      <w:pgSz w:w="11906" w:h="16838"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6B301A"/>
    <w:multiLevelType w:val="hybridMultilevel"/>
    <w:tmpl w:val="421EEBB6"/>
    <w:lvl w:ilvl="0" w:tplc="56489EE8">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C41A90"/>
    <w:rsid w:val="00056F32"/>
    <w:rsid w:val="00076220"/>
    <w:rsid w:val="000F5B7D"/>
    <w:rsid w:val="00182644"/>
    <w:rsid w:val="002050E7"/>
    <w:rsid w:val="00375724"/>
    <w:rsid w:val="003E14BB"/>
    <w:rsid w:val="0049249B"/>
    <w:rsid w:val="006D7FE7"/>
    <w:rsid w:val="008F4EE0"/>
    <w:rsid w:val="00920FBB"/>
    <w:rsid w:val="009552A0"/>
    <w:rsid w:val="009F2325"/>
    <w:rsid w:val="00AC64AF"/>
    <w:rsid w:val="00C41A90"/>
    <w:rsid w:val="00CA3ACA"/>
    <w:rsid w:val="00D31DD9"/>
    <w:rsid w:val="00E104EE"/>
    <w:rsid w:val="00EF07C3"/>
    <w:rsid w:val="00F61ABA"/>
    <w:rsid w:val="00F63735"/>
    <w:rsid w:val="00FB481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9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41A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CA3ACA"/>
    <w:rPr>
      <w:rFonts w:ascii="Courier New" w:hAnsi="Courier New" w:cs="Courier New"/>
      <w:sz w:val="20"/>
      <w:szCs w:val="20"/>
    </w:rPr>
  </w:style>
  <w:style w:type="character" w:customStyle="1" w:styleId="TextosinformatoCar">
    <w:name w:val="Texto sin formato Car"/>
    <w:basedOn w:val="Fuentedeprrafopredeter"/>
    <w:link w:val="Textosinformato"/>
    <w:rsid w:val="00CA3ACA"/>
    <w:rPr>
      <w:rFonts w:ascii="Courier New" w:eastAsia="Times New Roman" w:hAnsi="Courier New" w:cs="Courier New"/>
      <w:sz w:val="20"/>
      <w:szCs w:val="20"/>
      <w:lang w:val="es-ES" w:eastAsia="es-ES"/>
    </w:rPr>
  </w:style>
  <w:style w:type="paragraph" w:styleId="NormalWeb">
    <w:name w:val="Normal (Web)"/>
    <w:basedOn w:val="Normal"/>
    <w:uiPriority w:val="99"/>
    <w:unhideWhenUsed/>
    <w:rsid w:val="00076220"/>
    <w:pPr>
      <w:spacing w:before="100" w:beforeAutospacing="1" w:after="100" w:afterAutospacing="1"/>
    </w:pPr>
    <w:rPr>
      <w:lang w:val="es-AR" w:eastAsia="es-AR"/>
    </w:rPr>
  </w:style>
  <w:style w:type="paragraph" w:styleId="Prrafodelista">
    <w:name w:val="List Paragraph"/>
    <w:basedOn w:val="Normal"/>
    <w:uiPriority w:val="34"/>
    <w:qFormat/>
    <w:rsid w:val="00FB481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642</Words>
  <Characters>3535</Characters>
  <Application>Microsoft Office Word</Application>
  <DocSecurity>0</DocSecurity>
  <Lines>29</Lines>
  <Paragraphs>8</Paragraphs>
  <ScaleCrop>false</ScaleCrop>
  <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2015-01-21T13:44:00Z</dcterms:created>
  <dcterms:modified xsi:type="dcterms:W3CDTF">2015-09-21T16:09:00Z</dcterms:modified>
</cp:coreProperties>
</file>