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4F" w:rsidRPr="003F1D13" w:rsidRDefault="00774E4F" w:rsidP="00774E4F">
      <w:pPr>
        <w:rPr>
          <w:rFonts w:ascii="Arial" w:hAnsi="Arial" w:cs="Arial"/>
          <w:b/>
          <w:sz w:val="22"/>
          <w:szCs w:val="22"/>
        </w:rPr>
      </w:pPr>
      <w:r w:rsidRPr="003F1D13">
        <w:rPr>
          <w:rFonts w:ascii="Arial" w:hAnsi="Arial" w:cs="Arial"/>
          <w:b/>
          <w:sz w:val="22"/>
          <w:szCs w:val="22"/>
        </w:rPr>
        <w:t>13046</w:t>
      </w:r>
    </w:p>
    <w:p w:rsidR="00141F00" w:rsidRDefault="00141F00" w:rsidP="00141F00">
      <w:pPr>
        <w:jc w:val="center"/>
        <w:rPr>
          <w:rFonts w:ascii="Arial" w:hAnsi="Arial" w:cs="Arial"/>
          <w:b/>
          <w:sz w:val="22"/>
          <w:szCs w:val="22"/>
        </w:rPr>
      </w:pPr>
    </w:p>
    <w:p w:rsidR="00774E4F" w:rsidRPr="003F1D13" w:rsidRDefault="00141F00" w:rsidP="00141F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I – Nº</w:t>
      </w:r>
      <w:r w:rsidR="00774E4F" w:rsidRPr="003F1D13">
        <w:rPr>
          <w:rFonts w:ascii="Arial" w:hAnsi="Arial" w:cs="Arial"/>
          <w:b/>
          <w:sz w:val="22"/>
          <w:szCs w:val="22"/>
        </w:rPr>
        <w:t xml:space="preserve"> 30/12/1924</w:t>
      </w:r>
    </w:p>
    <w:p w:rsidR="00774E4F" w:rsidRPr="003F1D13" w:rsidRDefault="00774E4F" w:rsidP="00774E4F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:rsidR="00774E4F" w:rsidRPr="003F1D13" w:rsidRDefault="00611E2C" w:rsidP="00774E4F">
      <w:pPr>
        <w:jc w:val="both"/>
        <w:rPr>
          <w:rFonts w:ascii="Arial" w:hAnsi="Arial" w:cs="Arial"/>
          <w:sz w:val="22"/>
          <w:szCs w:val="22"/>
        </w:rPr>
      </w:pPr>
      <w:r w:rsidRPr="003F1D13">
        <w:rPr>
          <w:rFonts w:ascii="Arial" w:hAnsi="Arial" w:cs="Arial"/>
          <w:sz w:val="22"/>
          <w:szCs w:val="22"/>
        </w:rPr>
        <w:t>Artículo 1º.</w:t>
      </w:r>
      <w:r w:rsidR="00774E4F" w:rsidRPr="003F1D13">
        <w:rPr>
          <w:rFonts w:ascii="Arial" w:hAnsi="Arial" w:cs="Arial"/>
          <w:sz w:val="22"/>
          <w:szCs w:val="22"/>
        </w:rPr>
        <w:t xml:space="preserve">- </w:t>
      </w:r>
      <w:r w:rsidR="00D12828">
        <w:rPr>
          <w:rFonts w:ascii="Arial" w:hAnsi="Arial" w:cs="Arial"/>
          <w:sz w:val="22"/>
          <w:szCs w:val="22"/>
        </w:rPr>
        <w:t xml:space="preserve">Desde el 1º de enero de 1926 queda </w:t>
      </w:r>
      <w:r w:rsidR="00774E4F" w:rsidRPr="003F1D13">
        <w:rPr>
          <w:rFonts w:ascii="Arial" w:hAnsi="Arial" w:cs="Arial"/>
          <w:sz w:val="22"/>
          <w:szCs w:val="22"/>
        </w:rPr>
        <w:t>prohibida la fabricación, venta y empleo de pinturas a base de plomo.</w:t>
      </w:r>
    </w:p>
    <w:p w:rsidR="00774E4F" w:rsidRPr="003F1D13" w:rsidRDefault="00774E4F" w:rsidP="00774E4F">
      <w:pPr>
        <w:jc w:val="both"/>
        <w:rPr>
          <w:rFonts w:ascii="Arial" w:hAnsi="Arial" w:cs="Arial"/>
          <w:sz w:val="22"/>
          <w:szCs w:val="22"/>
        </w:rPr>
      </w:pPr>
    </w:p>
    <w:p w:rsidR="00774E4F" w:rsidRPr="003F1D13" w:rsidRDefault="00611E2C" w:rsidP="00774E4F">
      <w:pPr>
        <w:jc w:val="both"/>
        <w:rPr>
          <w:rFonts w:ascii="Arial" w:hAnsi="Arial" w:cs="Arial"/>
          <w:sz w:val="22"/>
          <w:szCs w:val="22"/>
        </w:rPr>
      </w:pPr>
      <w:r w:rsidRPr="003F1D13">
        <w:rPr>
          <w:rFonts w:ascii="Arial" w:hAnsi="Arial" w:cs="Arial"/>
          <w:sz w:val="22"/>
          <w:szCs w:val="22"/>
        </w:rPr>
        <w:t>Artículo 2º.</w:t>
      </w:r>
      <w:r w:rsidR="00774E4F" w:rsidRPr="003F1D13">
        <w:rPr>
          <w:rFonts w:ascii="Arial" w:hAnsi="Arial" w:cs="Arial"/>
          <w:sz w:val="22"/>
          <w:szCs w:val="22"/>
        </w:rPr>
        <w:t>- Los dueños de fábricas, los comerciantes y los empresarios de pinturas serán los responsables de las infracciones cometidas por ellos o su personal, al artículo anterior, y serán castigados conforme las disposiciones del Régimen de Penalidades.</w:t>
      </w:r>
    </w:p>
    <w:p w:rsidR="00774E4F" w:rsidRPr="003F1D13" w:rsidRDefault="00774E4F" w:rsidP="00774E4F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center" w:tblpY="30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774E4F" w:rsidRPr="003F1D13" w:rsidTr="003F1D13">
        <w:tc>
          <w:tcPr>
            <w:tcW w:w="9000" w:type="dxa"/>
            <w:gridSpan w:val="2"/>
            <w:vAlign w:val="center"/>
          </w:tcPr>
          <w:p w:rsidR="00774E4F" w:rsidRPr="003F1D13" w:rsidRDefault="00141F00" w:rsidP="003F1D13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I – Nº</w:t>
            </w:r>
            <w:r w:rsidR="00774E4F" w:rsidRPr="003F1D13">
              <w:rPr>
                <w:rFonts w:ascii="Arial" w:hAnsi="Arial" w:cs="Arial"/>
                <w:b/>
                <w:sz w:val="22"/>
                <w:szCs w:val="22"/>
              </w:rPr>
              <w:t xml:space="preserve"> 30/12/1924</w:t>
            </w:r>
          </w:p>
          <w:p w:rsidR="00774E4F" w:rsidRPr="003F1D13" w:rsidRDefault="00774E4F" w:rsidP="003F1D13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74E4F" w:rsidRPr="003F1D13" w:rsidTr="003F1D13">
        <w:tc>
          <w:tcPr>
            <w:tcW w:w="3780" w:type="dxa"/>
            <w:vAlign w:val="center"/>
          </w:tcPr>
          <w:p w:rsidR="00774E4F" w:rsidRPr="003F1D13" w:rsidRDefault="00774E4F" w:rsidP="003F1D13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774E4F" w:rsidRPr="003F1D13" w:rsidRDefault="00774E4F" w:rsidP="003F1D13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74E4F" w:rsidRPr="003F1D13" w:rsidRDefault="00774E4F" w:rsidP="003F1D13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74E4F" w:rsidRPr="003F1D13" w:rsidTr="003F1D13">
        <w:trPr>
          <w:trHeight w:val="472"/>
        </w:trPr>
        <w:tc>
          <w:tcPr>
            <w:tcW w:w="9000" w:type="dxa"/>
            <w:gridSpan w:val="2"/>
            <w:vAlign w:val="center"/>
          </w:tcPr>
          <w:p w:rsidR="000C1D9A" w:rsidRPr="003F1D13" w:rsidRDefault="000C1D9A" w:rsidP="003F1D13">
            <w:pPr>
              <w:jc w:val="center"/>
              <w:rPr>
                <w:rFonts w:ascii="Arial" w:hAnsi="Arial" w:cs="Arial"/>
              </w:rPr>
            </w:pPr>
            <w:r w:rsidRPr="003F1D13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710.7</w:t>
            </w:r>
          </w:p>
        </w:tc>
      </w:tr>
    </w:tbl>
    <w:p w:rsidR="00774E4F" w:rsidRDefault="00774E4F" w:rsidP="00774E4F">
      <w:pPr>
        <w:pStyle w:val="NormalWeb"/>
        <w:spacing w:before="0" w:beforeAutospacing="0" w:after="0" w:afterAutospacing="0" w:line="360" w:lineRule="auto"/>
        <w:ind w:left="360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774E4F" w:rsidRPr="003F1D13" w:rsidTr="003F1D13">
        <w:trPr>
          <w:jc w:val="center"/>
        </w:trPr>
        <w:tc>
          <w:tcPr>
            <w:tcW w:w="9180" w:type="dxa"/>
            <w:gridSpan w:val="3"/>
            <w:vAlign w:val="center"/>
          </w:tcPr>
          <w:p w:rsidR="00774E4F" w:rsidRPr="003F1D13" w:rsidRDefault="00141F00" w:rsidP="003F1D13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I – Nº</w:t>
            </w:r>
            <w:r w:rsidR="00774E4F" w:rsidRPr="003F1D13">
              <w:rPr>
                <w:rFonts w:ascii="Arial" w:hAnsi="Arial" w:cs="Arial"/>
                <w:b/>
                <w:sz w:val="22"/>
                <w:szCs w:val="22"/>
              </w:rPr>
              <w:t xml:space="preserve"> 30/12/1924</w:t>
            </w:r>
          </w:p>
          <w:p w:rsidR="00774E4F" w:rsidRPr="003F1D13" w:rsidRDefault="00774E4F" w:rsidP="003F1D13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74E4F" w:rsidRPr="003F1D13" w:rsidTr="003F1D13">
        <w:trPr>
          <w:jc w:val="center"/>
        </w:trPr>
        <w:tc>
          <w:tcPr>
            <w:tcW w:w="3090" w:type="dxa"/>
            <w:vAlign w:val="center"/>
          </w:tcPr>
          <w:p w:rsidR="00774E4F" w:rsidRPr="003F1D13" w:rsidRDefault="00774E4F" w:rsidP="003F1D1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74E4F" w:rsidRPr="003F1D13" w:rsidRDefault="00774E4F" w:rsidP="003F1D1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74E4F" w:rsidRPr="003F1D13" w:rsidRDefault="00774E4F" w:rsidP="003F1D1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74E4F" w:rsidRPr="003F1D13" w:rsidRDefault="00774E4F" w:rsidP="003F1D1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del Texto de Referencia (Ordenanza del 30/12/1924)</w:t>
            </w:r>
          </w:p>
        </w:tc>
        <w:tc>
          <w:tcPr>
            <w:tcW w:w="3240" w:type="dxa"/>
            <w:vAlign w:val="center"/>
          </w:tcPr>
          <w:p w:rsidR="00774E4F" w:rsidRPr="003F1D13" w:rsidRDefault="00774E4F" w:rsidP="003F1D1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F1D1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74E4F" w:rsidRPr="003F1D13" w:rsidTr="003F1D13">
        <w:trPr>
          <w:jc w:val="center"/>
        </w:trPr>
        <w:tc>
          <w:tcPr>
            <w:tcW w:w="9180" w:type="dxa"/>
            <w:gridSpan w:val="3"/>
            <w:vAlign w:val="center"/>
          </w:tcPr>
          <w:p w:rsidR="000C1D9A" w:rsidRPr="003F1D13" w:rsidRDefault="000C1D9A" w:rsidP="003F1D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F1D1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710.7</w:t>
            </w:r>
          </w:p>
        </w:tc>
      </w:tr>
    </w:tbl>
    <w:p w:rsidR="00774E4F" w:rsidRPr="003F1D13" w:rsidRDefault="00774E4F" w:rsidP="00774E4F">
      <w:pPr>
        <w:jc w:val="both"/>
        <w:rPr>
          <w:rFonts w:ascii="Arial" w:hAnsi="Arial" w:cs="Arial"/>
          <w:sz w:val="22"/>
          <w:szCs w:val="22"/>
        </w:rPr>
      </w:pPr>
    </w:p>
    <w:p w:rsidR="00774E4F" w:rsidRPr="003F1D13" w:rsidRDefault="00774E4F" w:rsidP="00774E4F">
      <w:pPr>
        <w:jc w:val="both"/>
        <w:rPr>
          <w:rFonts w:ascii="Arial" w:hAnsi="Arial" w:cs="Arial"/>
          <w:b/>
          <w:sz w:val="22"/>
          <w:szCs w:val="22"/>
        </w:rPr>
      </w:pPr>
      <w:r w:rsidRPr="003F1D1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F1D13">
        <w:rPr>
          <w:rFonts w:ascii="Arial" w:hAnsi="Arial" w:cs="Arial"/>
          <w:b/>
          <w:sz w:val="22"/>
          <w:szCs w:val="22"/>
        </w:rPr>
        <w:t>:</w:t>
      </w:r>
    </w:p>
    <w:p w:rsidR="00D12828" w:rsidRPr="00D12828" w:rsidRDefault="00D12828" w:rsidP="00D12828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D12828">
        <w:rPr>
          <w:rFonts w:ascii="Arial" w:hAnsi="Arial" w:cs="Arial"/>
          <w:sz w:val="22"/>
          <w:szCs w:val="22"/>
        </w:rPr>
        <w:t>Para Penalidades ver Ley Nº 451, BOCBA 1043 del 6/10/2000, aprobatoria del “Régimen de Faltas de la Ciudad de Buenos Aires”.</w:t>
      </w:r>
    </w:p>
    <w:p w:rsidR="00DA19F5" w:rsidRPr="003F1D13" w:rsidRDefault="00DA19F5" w:rsidP="003F1D13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sectPr w:rsidR="00DA19F5" w:rsidRPr="003F1D13" w:rsidSect="003F1D13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41119"/>
    <w:multiLevelType w:val="hybridMultilevel"/>
    <w:tmpl w:val="82B4A5E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74E4F"/>
    <w:rsid w:val="000C1D9A"/>
    <w:rsid w:val="00141F00"/>
    <w:rsid w:val="003910CA"/>
    <w:rsid w:val="003F1D13"/>
    <w:rsid w:val="00446EE7"/>
    <w:rsid w:val="00611E2C"/>
    <w:rsid w:val="00774E4F"/>
    <w:rsid w:val="008715F9"/>
    <w:rsid w:val="008A7B65"/>
    <w:rsid w:val="009B21ED"/>
    <w:rsid w:val="00A023DD"/>
    <w:rsid w:val="00B21F6B"/>
    <w:rsid w:val="00C1047E"/>
    <w:rsid w:val="00D12828"/>
    <w:rsid w:val="00D336CC"/>
    <w:rsid w:val="00DA19F5"/>
    <w:rsid w:val="00E54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774E4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74E4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74E4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774E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74E4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774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74E4F"/>
    <w:pPr>
      <w:spacing w:before="100" w:beforeAutospacing="1" w:after="100" w:afterAutospacing="1" w:line="240" w:lineRule="auto"/>
    </w:pPr>
  </w:style>
  <w:style w:type="paragraph" w:styleId="Prrafodelista">
    <w:name w:val="List Paragraph"/>
    <w:basedOn w:val="Normal"/>
    <w:uiPriority w:val="34"/>
    <w:qFormat/>
    <w:rsid w:val="000C1D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2014-09-15T12:48:00Z</dcterms:created>
  <dcterms:modified xsi:type="dcterms:W3CDTF">2015-10-15T15:56:00Z</dcterms:modified>
</cp:coreProperties>
</file>